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7FE63">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rPr>
      </w:pPr>
      <w:r>
        <w:rPr>
          <w:rFonts w:hint="eastAsia" w:ascii="Times New Roman" w:hAnsi="Times New Roman" w:eastAsia="方正小标宋简体" w:cs="Times New Roman"/>
          <w:b/>
          <w:bCs/>
          <w:sz w:val="44"/>
          <w:szCs w:val="44"/>
          <w:lang w:val="en-US" w:eastAsia="zh-CN"/>
        </w:rPr>
        <w:t>济宁赛迪汽车销售服务</w:t>
      </w:r>
      <w:r>
        <w:rPr>
          <w:rFonts w:hint="default" w:ascii="Times New Roman" w:hAnsi="Times New Roman" w:eastAsia="方正小标宋简体" w:cs="Times New Roman"/>
          <w:b/>
          <w:bCs/>
          <w:sz w:val="44"/>
          <w:szCs w:val="44"/>
        </w:rPr>
        <w:t>有限公司</w:t>
      </w:r>
    </w:p>
    <w:p w14:paraId="4437C0C2">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小标宋简体" w:cs="Times New Roman"/>
          <w:b/>
          <w:bCs/>
          <w:sz w:val="44"/>
          <w:szCs w:val="44"/>
        </w:rPr>
        <w:t>202</w:t>
      </w:r>
      <w:r>
        <w:rPr>
          <w:rFonts w:hint="eastAsia" w:ascii="Times New Roman" w:hAnsi="Times New Roman" w:eastAsia="方正小标宋简体" w:cs="Times New Roman"/>
          <w:b/>
          <w:bCs/>
          <w:sz w:val="44"/>
          <w:szCs w:val="44"/>
          <w:lang w:val="en-US" w:eastAsia="zh-CN"/>
        </w:rPr>
        <w:t>6</w:t>
      </w:r>
      <w:r>
        <w:rPr>
          <w:rFonts w:hint="default" w:ascii="Times New Roman" w:hAnsi="Times New Roman" w:eastAsia="方正小标宋简体" w:cs="Times New Roman"/>
          <w:b/>
          <w:bCs/>
          <w:sz w:val="44"/>
          <w:szCs w:val="44"/>
        </w:rPr>
        <w:t>年</w:t>
      </w:r>
      <w:r>
        <w:rPr>
          <w:rFonts w:hint="eastAsia" w:ascii="Times New Roman" w:hAnsi="Times New Roman" w:eastAsia="方正小标宋简体" w:cs="Times New Roman"/>
          <w:b/>
          <w:bCs/>
          <w:sz w:val="44"/>
          <w:szCs w:val="44"/>
          <w:lang w:val="en-US" w:eastAsia="zh-CN"/>
        </w:rPr>
        <w:t>三季度</w:t>
      </w:r>
      <w:r>
        <w:rPr>
          <w:rFonts w:hint="default" w:ascii="Times New Roman" w:hAnsi="Times New Roman" w:eastAsia="方正小标宋简体" w:cs="Times New Roman"/>
          <w:b/>
          <w:bCs/>
          <w:sz w:val="44"/>
          <w:szCs w:val="44"/>
        </w:rPr>
        <w:t>财务</w:t>
      </w:r>
      <w:r>
        <w:rPr>
          <w:rFonts w:hint="eastAsia" w:ascii="Times New Roman" w:hAnsi="Times New Roman" w:eastAsia="方正小标宋简体" w:cs="Times New Roman"/>
          <w:b/>
          <w:bCs/>
          <w:sz w:val="44"/>
          <w:szCs w:val="44"/>
          <w:lang w:val="en-US" w:eastAsia="zh-CN"/>
        </w:rPr>
        <w:t>等</w:t>
      </w:r>
      <w:r>
        <w:rPr>
          <w:rFonts w:hint="default" w:ascii="Times New Roman" w:hAnsi="Times New Roman" w:eastAsia="方正小标宋简体" w:cs="Times New Roman"/>
          <w:b/>
          <w:bCs/>
          <w:sz w:val="44"/>
          <w:szCs w:val="44"/>
        </w:rPr>
        <w:t>重大信息公开</w:t>
      </w:r>
    </w:p>
    <w:p w14:paraId="16143A83">
      <w:pPr>
        <w:keepNext w:val="0"/>
        <w:keepLines w:val="0"/>
        <w:pageBreakBefore w:val="0"/>
        <w:widowControl w:val="0"/>
        <w:kinsoku/>
        <w:wordWrap/>
        <w:overflowPunct/>
        <w:topLinePunct w:val="0"/>
        <w:autoSpaceDE/>
        <w:autoSpaceDN/>
        <w:bidi w:val="0"/>
        <w:adjustRightInd/>
        <w:snapToGrid w:val="0"/>
        <w:spacing w:line="600" w:lineRule="exact"/>
        <w:ind w:firstLine="641" w:firstLineChars="200"/>
        <w:textAlignment w:val="auto"/>
        <w:rPr>
          <w:rFonts w:hint="default" w:ascii="Times New Roman" w:hAnsi="Times New Roman" w:eastAsia="方正黑体简体" w:cs="Times New Roman"/>
          <w:b/>
          <w:bCs/>
          <w:sz w:val="32"/>
          <w:szCs w:val="32"/>
        </w:rPr>
      </w:pPr>
    </w:p>
    <w:p w14:paraId="0B464303">
      <w:pPr>
        <w:keepNext w:val="0"/>
        <w:keepLines w:val="0"/>
        <w:pageBreakBefore w:val="0"/>
        <w:widowControl w:val="0"/>
        <w:kinsoku/>
        <w:wordWrap/>
        <w:overflowPunct/>
        <w:topLinePunct w:val="0"/>
        <w:autoSpaceDE/>
        <w:autoSpaceDN/>
        <w:bidi w:val="0"/>
        <w:adjustRightInd/>
        <w:snapToGrid w:val="0"/>
        <w:spacing w:line="600" w:lineRule="exact"/>
        <w:ind w:firstLine="641" w:firstLineChars="200"/>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rPr>
        <w:t xml:space="preserve">一、公司基本情况 </w:t>
      </w:r>
    </w:p>
    <w:p w14:paraId="2777BCD6">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1.公司名称：济宁赛迪汽车销售服务有限公司</w:t>
      </w:r>
    </w:p>
    <w:p w14:paraId="184F110D">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2.法定代表人：</w:t>
      </w:r>
      <w:r>
        <w:rPr>
          <w:rFonts w:hint="eastAsia" w:ascii="Times New Roman" w:hAnsi="Times New Roman" w:eastAsia="方正仿宋简体" w:cs="Times New Roman"/>
          <w:b/>
          <w:bCs/>
          <w:sz w:val="32"/>
          <w:szCs w:val="32"/>
          <w:lang w:eastAsia="zh-CN"/>
        </w:rPr>
        <w:t>张广斌</w:t>
      </w:r>
    </w:p>
    <w:p w14:paraId="1C44C87F">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3.注册地址：济宁高新区光府河东侧327国道北(圣达汽车博</w:t>
      </w:r>
    </w:p>
    <w:p w14:paraId="267B1CC0">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览中心内)</w:t>
      </w:r>
    </w:p>
    <w:p w14:paraId="5ED98888">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eastAsia="zh-CN"/>
        </w:rPr>
      </w:pPr>
      <w:r>
        <w:rPr>
          <w:rFonts w:hint="default" w:ascii="Times New Roman" w:hAnsi="Times New Roman" w:eastAsia="方正仿宋简体" w:cs="Times New Roman"/>
          <w:b/>
          <w:bCs/>
          <w:sz w:val="32"/>
          <w:szCs w:val="32"/>
        </w:rPr>
        <w:t>4.经营范围：汽车新车销售;汽车零配件零售;新能源汽车整车销售:润滑油销售、专用化学产品销售(不含危险化学品);金属材料销售;电子元器件与机电组件设备销售;电线、电缆经营:渔需物资销售;智能农机装备销售:日用品销售:电子元器件与机电组件设备制造:汽车装饰用品销售;二手车经销;信息咨询服务(不含许可类信息咨询服务)。(除依法须经批准的项目外，凭营业执照依法自主开展经营活动)许可项目:道路货物运输(不含危险货物)。(依法须经批准的项目，经相关部门批准后方可开展经营活动，具体经营项目以相关部门批准文件或许可证件为准)</w:t>
      </w:r>
    </w:p>
    <w:p w14:paraId="739870DB">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5.公司简介:济宁赛迪汽车销售服务有限公司是长城汽车授权的哈弗新能源品牌汽车、长城皮卡品牌汽车在济宁地区的经销商。公司成立于2002年7月,注册资金500万元，是一家集汽车销售、汽车维修、配件供应、信息反馈为一体的有限责任公司。</w:t>
      </w:r>
    </w:p>
    <w:p w14:paraId="2C6A2FC4">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济宁赛迪汽车销售服务有限公司拥有济宁赛迪哈弗新能源4S店、济宁赛迪914配件中转库。 济宁赛迪哈弗新能源4S店是专注于哈弗新能源品牌汽车的销售与服务，店面占地面积10亩，展厅面积1600余平方米。济宁赛迪中转库始建于2007年5月，现有库房总面积达12000㎡，现有库存品类70000余种，服务半径700公里，用于服务区域内130家长城汽车服务商的配件需求保障。公司多年来始终恪守单品牌集团化战略，正是我们的定位准确，对市场有着高度的责任感，对品牌忠诚，对市场有开拓精神，在企业运营管理上有着领先的管理思想和管理体系，济宁赛迪汽车销售服务有限公司在厂家的地位也由一般的经销商进军到了核心战略经销商的地位。公司在创业初期，首先制定了符合企业自身发展的企业文化。企业的发展始终围绕文化相结合，一步一个脚印的开展企业经营管理工作。公司的企业愿景是以品牌战略发展为根本，立足于本地市场；打造知名企业，创造百年老店；企业与员工利益相结合，与时俱进，不断创新，做到小市场而大作为。企业经营理念是诚信、求实、创新、责任、感恩。企业核心文化是一分钟文化。（主动一分钟、争取一分钟、完善一分钟）</w:t>
      </w:r>
    </w:p>
    <w:p w14:paraId="54629271">
      <w:pPr>
        <w:keepNext w:val="0"/>
        <w:keepLines w:val="0"/>
        <w:pageBreakBefore w:val="0"/>
        <w:widowControl w:val="0"/>
        <w:kinsoku/>
        <w:wordWrap/>
        <w:overflowPunct/>
        <w:topLinePunct w:val="0"/>
        <w:autoSpaceDE/>
        <w:autoSpaceDN/>
        <w:bidi w:val="0"/>
        <w:adjustRightInd/>
        <w:snapToGrid w:val="0"/>
        <w:spacing w:line="600" w:lineRule="exact"/>
        <w:ind w:firstLine="641" w:firstLineChars="200"/>
        <w:textAlignment w:val="auto"/>
        <w:rPr>
          <w:rFonts w:hint="eastAsia" w:ascii="Times New Roman" w:hAnsi="Times New Roman" w:eastAsia="方正黑体简体" w:cs="Times New Roman"/>
          <w:b w:val="0"/>
          <w:bCs w:val="0"/>
          <w:sz w:val="28"/>
          <w:szCs w:val="28"/>
          <w:lang w:val="en-US" w:eastAsia="zh-CN"/>
        </w:rPr>
      </w:pPr>
      <w:r>
        <w:rPr>
          <w:rFonts w:hint="eastAsia" w:ascii="Times New Roman" w:hAnsi="Times New Roman" w:eastAsia="方正黑体简体" w:cs="Times New Roman"/>
          <w:b/>
          <w:bCs/>
          <w:sz w:val="32"/>
          <w:szCs w:val="32"/>
        </w:rPr>
        <w:t>二、主要会计数据和财务指标</w:t>
      </w:r>
      <w:r>
        <w:rPr>
          <w:rFonts w:hint="eastAsia" w:ascii="Times New Roman" w:hAnsi="Times New Roman" w:eastAsia="方正黑体简体" w:cs="Times New Roman"/>
          <w:b w:val="0"/>
          <w:bCs w:val="0"/>
          <w:sz w:val="28"/>
          <w:szCs w:val="28"/>
          <w:lang w:val="en-US" w:eastAsia="zh-CN"/>
        </w:rPr>
        <w:t>（截至到2026年9月30日）</w:t>
      </w:r>
    </w:p>
    <w:p w14:paraId="08F894C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center"/>
        <w:textAlignment w:val="auto"/>
        <w:rPr>
          <w:rFonts w:hint="eastAsia" w:ascii="Times New Roman" w:hAnsi="Times New Roman" w:eastAsia="方正黑体简体" w:cs="Times New Roman"/>
          <w:b w:val="0"/>
          <w:bCs w:val="0"/>
          <w:sz w:val="32"/>
          <w:szCs w:val="32"/>
          <w:lang w:val="en-US" w:eastAsia="zh-CN"/>
        </w:rPr>
      </w:pPr>
      <w:r>
        <w:rPr>
          <w:rFonts w:hint="eastAsia" w:ascii="Times New Roman" w:hAnsi="Times New Roman" w:eastAsia="方正黑体简体" w:cs="Times New Roman"/>
          <w:b w:val="0"/>
          <w:bCs w:val="0"/>
          <w:sz w:val="32"/>
          <w:szCs w:val="32"/>
          <w:lang w:val="en-US" w:eastAsia="zh-CN"/>
        </w:rPr>
        <w:t>2026年三季度主要财务数据</w:t>
      </w:r>
    </w:p>
    <w:p w14:paraId="3ACE5E35">
      <w:pPr>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rPr>
          <w:rFonts w:hint="default" w:ascii="Times New Roman" w:hAnsi="Times New Roman" w:eastAsia="方正黑体简体" w:cs="Times New Roman"/>
          <w:sz w:val="32"/>
          <w:szCs w:val="32"/>
        </w:rPr>
      </w:pPr>
      <w:r>
        <w:rPr>
          <w:rFonts w:hint="eastAsia" w:ascii="Times New Roman" w:hAnsi="Times New Roman" w:eastAsia="方正黑体简体" w:cs="Times New Roman"/>
          <w:sz w:val="32"/>
          <w:szCs w:val="32"/>
          <w:lang w:val="en-US" w:eastAsia="zh-CN"/>
        </w:rPr>
        <w:t xml:space="preserve">                                    </w:t>
      </w:r>
      <w:bookmarkStart w:id="0" w:name="_GoBack"/>
      <w:bookmarkEnd w:id="0"/>
      <w:r>
        <w:rPr>
          <w:rFonts w:hint="eastAsia" w:ascii="Times New Roman" w:hAnsi="Times New Roman" w:eastAsia="方正黑体简体" w:cs="Times New Roman"/>
          <w:sz w:val="32"/>
          <w:szCs w:val="32"/>
          <w:lang w:val="en-US" w:eastAsia="zh-CN"/>
        </w:rPr>
        <w:t xml:space="preserve">  </w:t>
      </w:r>
      <w:r>
        <w:rPr>
          <w:rFonts w:hint="default" w:ascii="Times New Roman" w:hAnsi="Times New Roman" w:eastAsia="方正黑体简体" w:cs="Times New Roman"/>
          <w:sz w:val="32"/>
          <w:szCs w:val="32"/>
        </w:rPr>
        <w:t>单位：万元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54"/>
        <w:gridCol w:w="4819"/>
      </w:tblGrid>
      <w:tr w14:paraId="64C86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shd w:val="clear" w:color="auto" w:fill="auto"/>
            <w:vAlign w:val="top"/>
          </w:tcPr>
          <w:p w14:paraId="7D1E35C5">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kern w:val="2"/>
                <w:sz w:val="32"/>
                <w:szCs w:val="32"/>
                <w:lang w:val="en-US" w:eastAsia="zh-CN" w:bidi="ar-SA"/>
              </w:rPr>
            </w:pPr>
            <w:r>
              <w:rPr>
                <w:rFonts w:hint="eastAsia" w:ascii="方正黑体简体" w:hAnsi="方正黑体简体" w:eastAsia="方正黑体简体" w:cs="方正黑体简体"/>
                <w:b/>
                <w:bCs/>
                <w:sz w:val="32"/>
                <w:szCs w:val="32"/>
                <w:lang w:val="en-US" w:eastAsia="zh-CN"/>
              </w:rPr>
              <w:t>项  目</w:t>
            </w:r>
          </w:p>
        </w:tc>
        <w:tc>
          <w:tcPr>
            <w:tcW w:w="4819" w:type="dxa"/>
            <w:shd w:val="clear" w:color="auto" w:fill="auto"/>
            <w:vAlign w:val="center"/>
          </w:tcPr>
          <w:p w14:paraId="0EE5CBF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eastAsia" w:ascii="Times New Roman" w:hAnsi="Times New Roman" w:eastAsia="方正仿宋简体" w:cs="Times New Roman"/>
                <w:b/>
                <w:bCs/>
                <w:kern w:val="2"/>
                <w:sz w:val="32"/>
                <w:szCs w:val="32"/>
                <w:lang w:val="en-US" w:eastAsia="zh-CN" w:bidi="ar-SA"/>
              </w:rPr>
            </w:pPr>
            <w:r>
              <w:rPr>
                <w:rFonts w:hint="eastAsia" w:ascii="方正黑体简体" w:hAnsi="方正黑体简体" w:eastAsia="方正黑体简体" w:cs="方正黑体简体"/>
                <w:b/>
                <w:bCs/>
                <w:sz w:val="32"/>
                <w:szCs w:val="32"/>
                <w:lang w:val="en-US" w:eastAsia="zh-CN"/>
              </w:rPr>
              <w:t>金  额</w:t>
            </w:r>
          </w:p>
        </w:tc>
      </w:tr>
      <w:tr w14:paraId="6EF3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8CDA5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营业总收入</w:t>
            </w:r>
          </w:p>
        </w:tc>
        <w:tc>
          <w:tcPr>
            <w:tcW w:w="4819" w:type="dxa"/>
            <w:vAlign w:val="center"/>
          </w:tcPr>
          <w:p w14:paraId="5E2649A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30959.12</w:t>
            </w:r>
          </w:p>
        </w:tc>
      </w:tr>
      <w:tr w14:paraId="3687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67E910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营业总成本</w:t>
            </w:r>
          </w:p>
        </w:tc>
        <w:tc>
          <w:tcPr>
            <w:tcW w:w="4819" w:type="dxa"/>
            <w:vAlign w:val="center"/>
          </w:tcPr>
          <w:p w14:paraId="60A4327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28830.41</w:t>
            </w:r>
          </w:p>
        </w:tc>
      </w:tr>
      <w:tr w14:paraId="16EEC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734EFB74">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利润总额</w:t>
            </w:r>
          </w:p>
        </w:tc>
        <w:tc>
          <w:tcPr>
            <w:tcW w:w="4819" w:type="dxa"/>
            <w:vAlign w:val="center"/>
          </w:tcPr>
          <w:p w14:paraId="2D612CE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238.04</w:t>
            </w:r>
          </w:p>
        </w:tc>
      </w:tr>
      <w:tr w14:paraId="5184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221D3B1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净利润</w:t>
            </w:r>
          </w:p>
        </w:tc>
        <w:tc>
          <w:tcPr>
            <w:tcW w:w="4819" w:type="dxa"/>
            <w:vAlign w:val="center"/>
          </w:tcPr>
          <w:p w14:paraId="12DFC477">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161.76</w:t>
            </w:r>
          </w:p>
        </w:tc>
      </w:tr>
      <w:tr w14:paraId="4E2C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3A47F7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资产总额</w:t>
            </w:r>
          </w:p>
        </w:tc>
        <w:tc>
          <w:tcPr>
            <w:tcW w:w="4819" w:type="dxa"/>
            <w:vAlign w:val="center"/>
          </w:tcPr>
          <w:p w14:paraId="62D98D0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28670.17</w:t>
            </w:r>
          </w:p>
        </w:tc>
      </w:tr>
      <w:tr w14:paraId="27C2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AC7417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负债总额</w:t>
            </w:r>
          </w:p>
        </w:tc>
        <w:tc>
          <w:tcPr>
            <w:tcW w:w="4819" w:type="dxa"/>
            <w:vAlign w:val="center"/>
          </w:tcPr>
          <w:p w14:paraId="0A854D5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27119.77</w:t>
            </w:r>
          </w:p>
        </w:tc>
      </w:tr>
      <w:tr w14:paraId="2DD7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34773FD6">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所有者权益</w:t>
            </w:r>
          </w:p>
        </w:tc>
        <w:tc>
          <w:tcPr>
            <w:tcW w:w="4819" w:type="dxa"/>
            <w:vAlign w:val="center"/>
          </w:tcPr>
          <w:p w14:paraId="48BD7381">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1550.40</w:t>
            </w:r>
          </w:p>
        </w:tc>
      </w:tr>
    </w:tbl>
    <w:p w14:paraId="084F9192">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rPr>
          <w:rFonts w:hint="default" w:ascii="Times New Roman" w:hAnsi="Times New Roman" w:eastAsia="方正黑体简体" w:cs="Times New Roman"/>
          <w:b/>
          <w:bCs/>
          <w:sz w:val="32"/>
          <w:szCs w:val="32"/>
          <w:lang w:val="en-US" w:eastAsia="zh-CN"/>
        </w:rPr>
      </w:pPr>
      <w:r>
        <w:rPr>
          <w:rFonts w:hint="default" w:ascii="Times New Roman" w:hAnsi="Times New Roman" w:eastAsia="方正黑体简体" w:cs="Times New Roman"/>
          <w:b/>
          <w:bCs/>
          <w:sz w:val="32"/>
          <w:szCs w:val="32"/>
        </w:rPr>
        <w:t>三、</w:t>
      </w:r>
      <w:r>
        <w:rPr>
          <w:rFonts w:hint="eastAsia" w:ascii="Times New Roman" w:hAnsi="Times New Roman" w:eastAsia="方正黑体简体" w:cs="Times New Roman"/>
          <w:b/>
          <w:bCs/>
          <w:sz w:val="32"/>
          <w:szCs w:val="32"/>
          <w:lang w:val="en-US" w:eastAsia="zh-CN"/>
        </w:rPr>
        <w:t>2026年三季度</w:t>
      </w:r>
      <w:r>
        <w:rPr>
          <w:rFonts w:hint="default" w:ascii="Times New Roman" w:hAnsi="Times New Roman" w:eastAsia="方正黑体简体" w:cs="Times New Roman"/>
          <w:b/>
          <w:bCs/>
          <w:sz w:val="32"/>
          <w:szCs w:val="32"/>
        </w:rPr>
        <w:t>财务预算</w:t>
      </w:r>
      <w:r>
        <w:rPr>
          <w:rFonts w:hint="default" w:ascii="Times New Roman" w:hAnsi="Times New Roman" w:eastAsia="方正黑体简体" w:cs="Times New Roman"/>
          <w:b/>
          <w:bCs/>
          <w:sz w:val="32"/>
          <w:szCs w:val="32"/>
          <w:lang w:val="en-US" w:eastAsia="zh-CN"/>
        </w:rPr>
        <w:t>执行情况</w:t>
      </w:r>
    </w:p>
    <w:p w14:paraId="3854E40B">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方正仿宋简体" w:cs="Times New Roman"/>
          <w:b/>
          <w:bCs/>
          <w:color w:val="000000"/>
          <w:sz w:val="32"/>
          <w:szCs w:val="32"/>
          <w:lang w:val="en-US" w:eastAsia="zh-CN"/>
        </w:rPr>
      </w:pPr>
      <w:r>
        <w:rPr>
          <w:rFonts w:hint="default" w:ascii="Times New Roman" w:hAnsi="Times New Roman" w:eastAsia="方正仿宋简体" w:cs="Times New Roman"/>
          <w:b/>
          <w:bCs/>
          <w:color w:val="000000"/>
          <w:sz w:val="32"/>
          <w:szCs w:val="32"/>
          <w:lang w:val="en-US" w:eastAsia="zh-CN"/>
        </w:rPr>
        <w:t>1.营业总收入：</w:t>
      </w:r>
      <w:r>
        <w:rPr>
          <w:rFonts w:hint="eastAsia" w:ascii="Times New Roman" w:hAnsi="Times New Roman" w:eastAsia="方正仿宋简体" w:cs="Times New Roman"/>
          <w:b/>
          <w:bCs/>
          <w:color w:val="000000"/>
          <w:sz w:val="32"/>
          <w:szCs w:val="32"/>
          <w:lang w:val="en-US" w:eastAsia="zh-CN"/>
        </w:rPr>
        <w:t>30959.12</w:t>
      </w:r>
      <w:r>
        <w:rPr>
          <w:rFonts w:hint="default" w:ascii="Times New Roman" w:hAnsi="Times New Roman" w:eastAsia="方正仿宋简体" w:cs="Times New Roman"/>
          <w:b/>
          <w:bCs/>
          <w:color w:val="000000"/>
          <w:sz w:val="32"/>
          <w:szCs w:val="32"/>
          <w:lang w:val="en-US" w:eastAsia="zh-CN"/>
        </w:rPr>
        <w:t>万元，完成全年预算的</w:t>
      </w:r>
      <w:r>
        <w:rPr>
          <w:rFonts w:hint="eastAsia" w:ascii="Times New Roman" w:hAnsi="Times New Roman" w:eastAsia="方正仿宋简体" w:cs="Times New Roman"/>
          <w:b/>
          <w:bCs/>
          <w:color w:val="000000"/>
          <w:sz w:val="32"/>
          <w:szCs w:val="32"/>
          <w:lang w:val="en-US" w:eastAsia="zh-CN"/>
        </w:rPr>
        <w:t>72.36</w:t>
      </w:r>
      <w:r>
        <w:rPr>
          <w:rFonts w:hint="default" w:ascii="Times New Roman" w:hAnsi="Times New Roman" w:eastAsia="方正仿宋简体" w:cs="Times New Roman"/>
          <w:b/>
          <w:bCs/>
          <w:color w:val="000000"/>
          <w:sz w:val="32"/>
          <w:szCs w:val="32"/>
          <w:lang w:val="en-US" w:eastAsia="zh-CN"/>
        </w:rPr>
        <w:t>%。</w:t>
      </w:r>
    </w:p>
    <w:p w14:paraId="71102011">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方正仿宋简体" w:cs="Times New Roman"/>
          <w:b/>
          <w:bCs/>
          <w:color w:val="000000"/>
          <w:sz w:val="32"/>
          <w:szCs w:val="32"/>
          <w:lang w:val="en-US" w:eastAsia="zh-CN"/>
        </w:rPr>
      </w:pPr>
      <w:r>
        <w:rPr>
          <w:rFonts w:hint="default" w:ascii="Times New Roman" w:hAnsi="Times New Roman" w:eastAsia="方正仿宋简体" w:cs="Times New Roman"/>
          <w:b/>
          <w:bCs/>
          <w:color w:val="000000"/>
          <w:sz w:val="32"/>
          <w:szCs w:val="32"/>
          <w:lang w:val="en-US" w:eastAsia="zh-CN"/>
        </w:rPr>
        <w:t>2.利润总额：</w:t>
      </w:r>
      <w:r>
        <w:rPr>
          <w:rFonts w:hint="eastAsia" w:ascii="Times New Roman" w:hAnsi="Times New Roman" w:eastAsia="方正仿宋简体" w:cs="Times New Roman"/>
          <w:b/>
          <w:bCs/>
          <w:color w:val="000000"/>
          <w:sz w:val="32"/>
          <w:szCs w:val="32"/>
          <w:lang w:val="en-US" w:eastAsia="zh-CN"/>
        </w:rPr>
        <w:t>238.04</w:t>
      </w:r>
      <w:r>
        <w:rPr>
          <w:rFonts w:hint="default" w:ascii="Times New Roman" w:hAnsi="Times New Roman" w:eastAsia="方正仿宋简体" w:cs="Times New Roman"/>
          <w:b/>
          <w:bCs/>
          <w:color w:val="000000"/>
          <w:sz w:val="32"/>
          <w:szCs w:val="32"/>
          <w:lang w:val="en-US" w:eastAsia="zh-CN"/>
        </w:rPr>
        <w:t>万元</w:t>
      </w:r>
      <w:r>
        <w:rPr>
          <w:rFonts w:hint="eastAsia" w:ascii="Times New Roman" w:hAnsi="Times New Roman" w:eastAsia="方正仿宋简体" w:cs="Times New Roman"/>
          <w:b/>
          <w:bCs/>
          <w:color w:val="000000"/>
          <w:sz w:val="32"/>
          <w:szCs w:val="32"/>
          <w:lang w:val="en-US" w:eastAsia="zh-CN"/>
        </w:rPr>
        <w:t>，完成全年预算38.21%</w:t>
      </w:r>
    </w:p>
    <w:p w14:paraId="5218B35E">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rPr>
        <w:t>四、</w:t>
      </w:r>
      <w:r>
        <w:rPr>
          <w:rFonts w:hint="eastAsia" w:ascii="Times New Roman" w:hAnsi="Times New Roman" w:eastAsia="方正黑体简体" w:cs="Times New Roman"/>
          <w:b/>
          <w:bCs/>
          <w:sz w:val="32"/>
          <w:szCs w:val="32"/>
          <w:lang w:val="en-US" w:eastAsia="zh-CN"/>
        </w:rPr>
        <w:t>三季度</w:t>
      </w:r>
      <w:r>
        <w:rPr>
          <w:rFonts w:hint="default" w:ascii="Times New Roman" w:hAnsi="Times New Roman" w:eastAsia="方正黑体简体" w:cs="Times New Roman"/>
          <w:b/>
          <w:bCs/>
          <w:sz w:val="32"/>
          <w:szCs w:val="32"/>
        </w:rPr>
        <w:t>内重大事项及对企业的影响</w:t>
      </w:r>
    </w:p>
    <w:p w14:paraId="35C19474">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无。</w:t>
      </w:r>
    </w:p>
    <w:sectPr>
      <w:pgSz w:w="11906" w:h="16838"/>
      <w:pgMar w:top="2098" w:right="1474" w:bottom="198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简体">
    <w:panose1 w:val="02000000000000000000"/>
    <w:charset w:val="86"/>
    <w:family w:val="auto"/>
    <w:pitch w:val="default"/>
    <w:sig w:usb0="A00002BF" w:usb1="184F6CFA" w:usb2="00000012" w:usb3="00000000" w:csb0="00040001" w:csb1="00000000"/>
    <w:embedRegular r:id="rId1" w:fontKey="{DE3AF0D1-293C-4121-8589-102EBC14DE8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lZWY1MTZiMTkyZjJiYmE4ZmY2NmQ4YzIyODA0ODMifQ=="/>
  </w:docVars>
  <w:rsids>
    <w:rsidRoot w:val="13CC2444"/>
    <w:rsid w:val="001410B8"/>
    <w:rsid w:val="00332EF0"/>
    <w:rsid w:val="003F77BE"/>
    <w:rsid w:val="007E3428"/>
    <w:rsid w:val="007E5379"/>
    <w:rsid w:val="00AC6AB4"/>
    <w:rsid w:val="00BC3130"/>
    <w:rsid w:val="00C455E3"/>
    <w:rsid w:val="00C65B77"/>
    <w:rsid w:val="00D321DA"/>
    <w:rsid w:val="00EA422D"/>
    <w:rsid w:val="00FC157F"/>
    <w:rsid w:val="039E0D96"/>
    <w:rsid w:val="04F419D9"/>
    <w:rsid w:val="06DF3B7E"/>
    <w:rsid w:val="074D3623"/>
    <w:rsid w:val="09EC724C"/>
    <w:rsid w:val="0BB51797"/>
    <w:rsid w:val="0D052EAD"/>
    <w:rsid w:val="0D6D5D2C"/>
    <w:rsid w:val="103E05DD"/>
    <w:rsid w:val="13CC2444"/>
    <w:rsid w:val="15D840D8"/>
    <w:rsid w:val="17852965"/>
    <w:rsid w:val="180477A4"/>
    <w:rsid w:val="19560A59"/>
    <w:rsid w:val="1BB47375"/>
    <w:rsid w:val="1C496371"/>
    <w:rsid w:val="1CAB41EE"/>
    <w:rsid w:val="1FC46EBC"/>
    <w:rsid w:val="21EA12B6"/>
    <w:rsid w:val="21F459FD"/>
    <w:rsid w:val="23DD7D93"/>
    <w:rsid w:val="29D47C5C"/>
    <w:rsid w:val="2A4822AF"/>
    <w:rsid w:val="2C712A94"/>
    <w:rsid w:val="2D9F5C7A"/>
    <w:rsid w:val="33A670F3"/>
    <w:rsid w:val="35D9381B"/>
    <w:rsid w:val="35FA4023"/>
    <w:rsid w:val="373830F8"/>
    <w:rsid w:val="3B2F036E"/>
    <w:rsid w:val="3F6A64F8"/>
    <w:rsid w:val="40E1715D"/>
    <w:rsid w:val="419C0824"/>
    <w:rsid w:val="44244964"/>
    <w:rsid w:val="49C461B1"/>
    <w:rsid w:val="4D16313C"/>
    <w:rsid w:val="50DE6667"/>
    <w:rsid w:val="57404164"/>
    <w:rsid w:val="596268D9"/>
    <w:rsid w:val="59EC48C6"/>
    <w:rsid w:val="5C83014D"/>
    <w:rsid w:val="5D6B3790"/>
    <w:rsid w:val="5D75511C"/>
    <w:rsid w:val="5E145AF2"/>
    <w:rsid w:val="5F372BCB"/>
    <w:rsid w:val="5F412942"/>
    <w:rsid w:val="5F60748F"/>
    <w:rsid w:val="60785E58"/>
    <w:rsid w:val="678437B5"/>
    <w:rsid w:val="68CB06C7"/>
    <w:rsid w:val="68D46D0C"/>
    <w:rsid w:val="6CF238C8"/>
    <w:rsid w:val="70C1078D"/>
    <w:rsid w:val="72D94FAB"/>
    <w:rsid w:val="7451111C"/>
    <w:rsid w:val="75D26FF0"/>
    <w:rsid w:val="775A30EF"/>
    <w:rsid w:val="77616036"/>
    <w:rsid w:val="78D87374"/>
    <w:rsid w:val="7FC25A17"/>
    <w:rsid w:val="7FC82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adjustRightInd w:val="0"/>
      <w:ind w:firstLine="420"/>
      <w:textAlignment w:val="baseline"/>
    </w:pPr>
    <w:rPr>
      <w:rFonts w:ascii="宋体"/>
      <w:kern w:val="0"/>
    </w:rPr>
  </w:style>
  <w:style w:type="paragraph" w:styleId="3">
    <w:name w:val="Body Text"/>
    <w:basedOn w:val="1"/>
    <w:next w:val="4"/>
    <w:qFormat/>
    <w:uiPriority w:val="0"/>
  </w:style>
  <w:style w:type="paragraph" w:styleId="4">
    <w:name w:val="Body Text First Indent 2"/>
    <w:basedOn w:val="5"/>
    <w:next w:val="6"/>
    <w:qFormat/>
    <w:uiPriority w:val="99"/>
    <w:pPr>
      <w:ind w:firstLine="420" w:firstLineChars="200"/>
    </w:pPr>
  </w:style>
  <w:style w:type="paragraph" w:styleId="5">
    <w:name w:val="Body Text Indent"/>
    <w:basedOn w:val="1"/>
    <w:unhideWhenUsed/>
    <w:qFormat/>
    <w:uiPriority w:val="99"/>
    <w:pPr>
      <w:ind w:left="420" w:leftChars="200"/>
    </w:pPr>
  </w:style>
  <w:style w:type="paragraph" w:styleId="6">
    <w:name w:val="Body Text First Indent"/>
    <w:basedOn w:val="3"/>
    <w:qFormat/>
    <w:uiPriority w:val="0"/>
    <w:pPr>
      <w:ind w:firstLine="420" w:firstLineChars="100"/>
    </w:pPr>
  </w:style>
  <w:style w:type="paragraph" w:styleId="7">
    <w:name w:val="footer"/>
    <w:basedOn w:val="1"/>
    <w:link w:val="13"/>
    <w:qFormat/>
    <w:uiPriority w:val="0"/>
    <w:pPr>
      <w:tabs>
        <w:tab w:val="center" w:pos="4153"/>
        <w:tab w:val="right" w:pos="8306"/>
      </w:tabs>
      <w:snapToGrid w:val="0"/>
      <w:jc w:val="left"/>
    </w:pPr>
    <w:rPr>
      <w:sz w:val="18"/>
      <w:szCs w:val="18"/>
    </w:rPr>
  </w:style>
  <w:style w:type="paragraph" w:styleId="8">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8"/>
    <w:qFormat/>
    <w:uiPriority w:val="0"/>
    <w:rPr>
      <w:kern w:val="2"/>
      <w:sz w:val="18"/>
      <w:szCs w:val="18"/>
    </w:rPr>
  </w:style>
  <w:style w:type="character" w:customStyle="1" w:styleId="13">
    <w:name w:val="页脚 字符"/>
    <w:basedOn w:val="11"/>
    <w:link w:val="7"/>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925</Words>
  <Characters>964</Characters>
  <Lines>5</Lines>
  <Paragraphs>1</Paragraphs>
  <TotalTime>0</TotalTime>
  <ScaleCrop>false</ScaleCrop>
  <LinksUpToDate>false</LinksUpToDate>
  <CharactersWithSpaces>966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2022-06-30T02:09:00Z</dcterms:created>
  <dc:creator>Mr.X</dc:creator>
  <cp:lastModifiedBy>王海鹏</cp:lastModifiedBy>
  <dcterms:modified xsi:type="dcterms:W3CDTF">2026-10-21T14:50:27Z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EA74C1FF97974B4C9BCB2A66CAC65296</vt:lpwstr>
  </property>
  <property fmtid="{D5CDD505-2E9C-101B-9397-08002B2CF9AE}" pid="4" name="KSOTemplateDocerSaveRecord">
    <vt:lpwstr>eyJoZGlkIjoiNDhjYWM5YzAwMjNiYzVkZmU0MWQxNDA4NWExOTgxODgiLCJ1c2VySWQiOiIzNDI0Nzc0MDgifQ==</vt:lpwstr>
  </property>
</Properties>
</file>