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192964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jc w:val="center"/>
        <w:textAlignment w:val="auto"/>
        <w:rPr>
          <w:rFonts w:hint="default" w:ascii="Times New Roman" w:hAnsi="Times New Roman" w:eastAsia="方正小标宋简体" w:cs="Times New Roman"/>
          <w:b/>
          <w:bCs/>
          <w:sz w:val="44"/>
          <w:szCs w:val="44"/>
          <w:lang w:val="en-US" w:eastAsia="zh-CN"/>
        </w:rPr>
      </w:pPr>
      <w:r>
        <w:rPr>
          <w:rFonts w:hint="default" w:ascii="Times New Roman" w:hAnsi="Times New Roman" w:eastAsia="方正小标宋简体" w:cs="Times New Roman"/>
          <w:b/>
          <w:bCs/>
          <w:sz w:val="44"/>
          <w:szCs w:val="44"/>
          <w:lang w:val="en-US" w:eastAsia="zh-CN"/>
        </w:rPr>
        <w:t>山东公用热电集团（庆城）热力有限公司</w:t>
      </w:r>
    </w:p>
    <w:p w14:paraId="4437C0C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jc w:val="center"/>
        <w:textAlignment w:val="auto"/>
        <w:rPr>
          <w:rFonts w:hint="default" w:ascii="Times New Roman" w:hAnsi="Times New Roman" w:eastAsia="方正小标宋简体" w:cs="Times New Roman"/>
          <w:b/>
          <w:bCs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b/>
          <w:bCs/>
          <w:sz w:val="44"/>
          <w:szCs w:val="44"/>
        </w:rPr>
        <w:t>202</w:t>
      </w:r>
      <w:r>
        <w:rPr>
          <w:rFonts w:hint="default" w:ascii="Times New Roman" w:hAnsi="Times New Roman" w:eastAsia="方正小标宋简体" w:cs="Times New Roman"/>
          <w:b/>
          <w:bCs/>
          <w:sz w:val="44"/>
          <w:szCs w:val="44"/>
          <w:lang w:val="en-US" w:eastAsia="zh-CN"/>
        </w:rPr>
        <w:t>6</w:t>
      </w:r>
      <w:r>
        <w:rPr>
          <w:rFonts w:hint="default" w:ascii="Times New Roman" w:hAnsi="Times New Roman" w:eastAsia="方正小标宋简体" w:cs="Times New Roman"/>
          <w:b/>
          <w:bCs/>
          <w:sz w:val="44"/>
          <w:szCs w:val="44"/>
        </w:rPr>
        <w:t>年</w:t>
      </w:r>
      <w:r>
        <w:rPr>
          <w:rFonts w:hint="default" w:ascii="Times New Roman" w:hAnsi="Times New Roman" w:eastAsia="方正小标宋简体" w:cs="Times New Roman"/>
          <w:b/>
          <w:bCs/>
          <w:sz w:val="44"/>
          <w:szCs w:val="44"/>
          <w:lang w:val="en-US" w:eastAsia="zh-CN"/>
        </w:rPr>
        <w:t>三季度</w:t>
      </w:r>
      <w:r>
        <w:rPr>
          <w:rFonts w:hint="default" w:ascii="Times New Roman" w:hAnsi="Times New Roman" w:eastAsia="方正小标宋简体" w:cs="Times New Roman"/>
          <w:b/>
          <w:bCs/>
          <w:sz w:val="44"/>
          <w:szCs w:val="44"/>
        </w:rPr>
        <w:t>财务</w:t>
      </w:r>
      <w:r>
        <w:rPr>
          <w:rFonts w:hint="default" w:ascii="Times New Roman" w:hAnsi="Times New Roman" w:eastAsia="方正小标宋简体" w:cs="Times New Roman"/>
          <w:b/>
          <w:bCs/>
          <w:sz w:val="44"/>
          <w:szCs w:val="44"/>
          <w:lang w:val="en-US" w:eastAsia="zh-CN"/>
        </w:rPr>
        <w:t>等</w:t>
      </w:r>
      <w:r>
        <w:rPr>
          <w:rFonts w:hint="default" w:ascii="Times New Roman" w:hAnsi="Times New Roman" w:eastAsia="方正小标宋简体" w:cs="Times New Roman"/>
          <w:b/>
          <w:bCs/>
          <w:sz w:val="44"/>
          <w:szCs w:val="44"/>
        </w:rPr>
        <w:t>重大信息公开</w:t>
      </w:r>
    </w:p>
    <w:p w14:paraId="6F953C7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jc w:val="center"/>
        <w:textAlignment w:val="auto"/>
        <w:rPr>
          <w:rFonts w:hint="default" w:ascii="Times New Roman" w:hAnsi="Times New Roman" w:eastAsia="方正小标宋简体" w:cs="Times New Roman"/>
          <w:b/>
          <w:bCs/>
          <w:sz w:val="44"/>
          <w:szCs w:val="44"/>
        </w:rPr>
      </w:pPr>
    </w:p>
    <w:p w14:paraId="0B464303">
      <w:pPr>
        <w:keepNext w:val="0"/>
        <w:keepLines w:val="0"/>
        <w:pageBreakBefore w:val="0"/>
        <w:widowControl/>
        <w:kinsoku/>
        <w:wordWrap/>
        <w:overflowPunct w:val="0"/>
        <w:topLinePunct/>
        <w:autoSpaceDE/>
        <w:autoSpaceDN/>
        <w:bidi w:val="0"/>
        <w:adjustRightInd/>
        <w:snapToGrid w:val="0"/>
        <w:spacing w:line="600" w:lineRule="exact"/>
        <w:ind w:firstLine="643" w:firstLineChars="200"/>
        <w:textAlignment w:val="auto"/>
        <w:rPr>
          <w:rFonts w:hint="default" w:ascii="Times New Roman" w:hAnsi="Times New Roman" w:eastAsia="方正黑体简体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方正黑体简体" w:cs="Times New Roman"/>
          <w:b/>
          <w:bCs/>
          <w:sz w:val="32"/>
          <w:szCs w:val="32"/>
        </w:rPr>
        <w:t xml:space="preserve">一、公司基本情况 </w:t>
      </w:r>
    </w:p>
    <w:p w14:paraId="2777BCD6">
      <w:pPr>
        <w:keepNext w:val="0"/>
        <w:keepLines w:val="0"/>
        <w:pageBreakBefore w:val="0"/>
        <w:widowControl/>
        <w:kinsoku/>
        <w:wordWrap/>
        <w:overflowPunct w:val="0"/>
        <w:topLinePunct/>
        <w:autoSpaceDE/>
        <w:autoSpaceDN/>
        <w:bidi w:val="0"/>
        <w:adjustRightInd/>
        <w:snapToGrid w:val="0"/>
        <w:spacing w:line="600" w:lineRule="exact"/>
        <w:ind w:firstLine="643" w:firstLineChars="200"/>
        <w:textAlignment w:val="auto"/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  <w:t>1.公司名称：山东公用热电集团（庆城）热力有限公司</w:t>
      </w:r>
    </w:p>
    <w:p w14:paraId="184F110D">
      <w:pPr>
        <w:keepNext w:val="0"/>
        <w:keepLines w:val="0"/>
        <w:pageBreakBefore w:val="0"/>
        <w:widowControl/>
        <w:kinsoku/>
        <w:wordWrap/>
        <w:overflowPunct w:val="0"/>
        <w:topLinePunct/>
        <w:autoSpaceDE/>
        <w:autoSpaceDN/>
        <w:bidi w:val="0"/>
        <w:adjustRightInd/>
        <w:snapToGrid w:val="0"/>
        <w:spacing w:line="600" w:lineRule="exact"/>
        <w:ind w:firstLine="643" w:firstLineChars="200"/>
        <w:textAlignment w:val="auto"/>
        <w:rPr>
          <w:rFonts w:hint="default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  <w:t>2.法定代表人：</w:t>
      </w: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李清浩</w:t>
      </w:r>
    </w:p>
    <w:p w14:paraId="267B1CC0">
      <w:pPr>
        <w:keepNext w:val="0"/>
        <w:keepLines w:val="0"/>
        <w:pageBreakBefore w:val="0"/>
        <w:widowControl/>
        <w:kinsoku/>
        <w:wordWrap/>
        <w:overflowPunct w:val="0"/>
        <w:topLinePunct/>
        <w:autoSpaceDE/>
        <w:autoSpaceDN/>
        <w:bidi w:val="0"/>
        <w:adjustRightInd/>
        <w:snapToGrid w:val="0"/>
        <w:spacing w:line="600" w:lineRule="exact"/>
        <w:ind w:firstLine="643" w:firstLineChars="200"/>
        <w:textAlignment w:val="auto"/>
        <w:rPr>
          <w:rFonts w:hint="default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  <w:t>3.注册地址：甘肃省庆阳市庆城县庆城镇东河东南150米</w:t>
      </w:r>
    </w:p>
    <w:p w14:paraId="5ED98888">
      <w:pPr>
        <w:keepNext w:val="0"/>
        <w:keepLines w:val="0"/>
        <w:pageBreakBefore w:val="0"/>
        <w:widowControl/>
        <w:kinsoku/>
        <w:wordWrap/>
        <w:overflowPunct w:val="0"/>
        <w:topLinePunct/>
        <w:autoSpaceDE/>
        <w:autoSpaceDN/>
        <w:bidi w:val="0"/>
        <w:adjustRightInd/>
        <w:snapToGrid w:val="0"/>
        <w:spacing w:line="600" w:lineRule="exact"/>
        <w:ind w:firstLine="643" w:firstLineChars="200"/>
        <w:textAlignment w:val="auto"/>
        <w:rPr>
          <w:rFonts w:hint="default" w:ascii="Times New Roman" w:hAnsi="Times New Roman" w:eastAsia="方正仿宋简体" w:cs="Times New Roman"/>
          <w:b/>
          <w:bCs/>
          <w:sz w:val="32"/>
          <w:szCs w:val="32"/>
          <w:lang w:eastAsia="zh-CN"/>
        </w:rPr>
      </w:pP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  <w:t>4.经营范围：许可项目</w:t>
      </w:r>
      <w:r>
        <w:rPr>
          <w:rFonts w:hint="eastAsia" w:ascii="Times New Roman" w:hAnsi="Times New Roman" w:eastAsia="方正仿宋简体" w:cs="Times New Roman"/>
          <w:b/>
          <w:bCs/>
          <w:sz w:val="32"/>
          <w:szCs w:val="32"/>
          <w:lang w:eastAsia="zh-CN"/>
        </w:rPr>
        <w:t>：</w:t>
      </w: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  <w:t>供暖服务</w:t>
      </w:r>
      <w:r>
        <w:rPr>
          <w:rFonts w:hint="eastAsia" w:ascii="Times New Roman" w:hAnsi="Times New Roman" w:eastAsia="方正仿宋简体" w:cs="Times New Roman"/>
          <w:b/>
          <w:bCs/>
          <w:sz w:val="32"/>
          <w:szCs w:val="32"/>
          <w:lang w:eastAsia="zh-CN"/>
        </w:rPr>
        <w:t>；</w:t>
      </w: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  <w:t>建设工程设计。（依法须经批准的项目，经相关部门批准后方可开展经营活动</w:t>
      </w:r>
      <w:r>
        <w:rPr>
          <w:rFonts w:hint="eastAsia" w:ascii="Times New Roman" w:hAnsi="Times New Roman" w:eastAsia="方正仿宋简体" w:cs="Times New Roman"/>
          <w:b/>
          <w:bCs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  <w:t>具体经营项目以相关部门批准文件或许可证件为准）。一般项目</w:t>
      </w:r>
      <w:r>
        <w:rPr>
          <w:rFonts w:hint="eastAsia" w:ascii="Times New Roman" w:hAnsi="Times New Roman" w:eastAsia="方正仿宋简体" w:cs="Times New Roman"/>
          <w:b/>
          <w:bCs/>
          <w:sz w:val="32"/>
          <w:szCs w:val="32"/>
          <w:lang w:eastAsia="zh-CN"/>
        </w:rPr>
        <w:t>：</w:t>
      </w: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  <w:t>热力生产和供应；供冷服务；合同能源管理</w:t>
      </w:r>
      <w:r>
        <w:rPr>
          <w:rFonts w:hint="eastAsia" w:ascii="Times New Roman" w:hAnsi="Times New Roman" w:eastAsia="方正仿宋简体" w:cs="Times New Roman"/>
          <w:b/>
          <w:bCs/>
          <w:sz w:val="32"/>
          <w:szCs w:val="32"/>
          <w:lang w:eastAsia="zh-CN"/>
        </w:rPr>
        <w:t>；</w:t>
      </w: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  <w:t>节能管理服务</w:t>
      </w:r>
      <w:r>
        <w:rPr>
          <w:rFonts w:hint="eastAsia" w:ascii="Times New Roman" w:hAnsi="Times New Roman" w:eastAsia="方正仿宋简体" w:cs="Times New Roman"/>
          <w:b/>
          <w:bCs/>
          <w:sz w:val="32"/>
          <w:szCs w:val="32"/>
          <w:lang w:eastAsia="zh-CN"/>
        </w:rPr>
        <w:t>；</w:t>
      </w: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  <w:t>太阳能发电技术服务；工程管理服务；工业工程设计服务；生物质能技术服务。（除依法须经批准的项目外，凭营业执照依法自主开展经营活动）</w:t>
      </w:r>
    </w:p>
    <w:p w14:paraId="2232BBDB">
      <w:pPr>
        <w:keepNext w:val="0"/>
        <w:keepLines w:val="0"/>
        <w:pageBreakBefore w:val="0"/>
        <w:widowControl/>
        <w:kinsoku/>
        <w:wordWrap/>
        <w:overflowPunct w:val="0"/>
        <w:topLinePunct/>
        <w:autoSpaceDE/>
        <w:autoSpaceDN/>
        <w:bidi w:val="0"/>
        <w:adjustRightInd/>
        <w:snapToGrid w:val="0"/>
        <w:spacing w:line="600" w:lineRule="exact"/>
        <w:ind w:firstLine="643" w:firstLineChars="200"/>
        <w:textAlignment w:val="auto"/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  <w:t>5.公司简介</w:t>
      </w:r>
      <w:r>
        <w:rPr>
          <w:rFonts w:hint="eastAsia" w:ascii="Times New Roman" w:hAnsi="Times New Roman" w:eastAsia="方正仿宋简体" w:cs="Times New Roman"/>
          <w:b/>
          <w:bCs/>
          <w:sz w:val="32"/>
          <w:szCs w:val="32"/>
          <w:lang w:eastAsia="zh-CN"/>
        </w:rPr>
        <w:t>：</w:t>
      </w: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  <w:t>山东公用热电集团（庆城）热力有限公司隶属于山东公用热电集团有限公司，2023年6月</w:t>
      </w: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  <w:t>庆城县人民政府授予</w:t>
      </w: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我</w:t>
      </w: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  <w:lang w:eastAsia="zh-CN"/>
        </w:rPr>
        <w:t>公司</w:t>
      </w: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  <w:t>城区供热特许经营权，负责城区民用、商用及机关办公</w:t>
      </w: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  <w:lang w:eastAsia="zh-CN"/>
        </w:rPr>
        <w:t>的</w:t>
      </w: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  <w:t>供热运营管理工作。公司秉承“真情送温暖，服务千万家”的服务宗旨，</w:t>
      </w: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  <w:lang w:eastAsia="zh-CN"/>
        </w:rPr>
        <w:t>为</w:t>
      </w: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  <w:t>广大用户提供稳定、优质的供热服务，</w:t>
      </w: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  <w:lang w:eastAsia="zh-CN"/>
        </w:rPr>
        <w:t>致力于</w:t>
      </w: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  <w:t>带来更高效优质、温暖舒适的用热体验。</w:t>
      </w: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  <w:lang w:eastAsia="zh-CN"/>
        </w:rPr>
        <w:t>庆城热力现有员工共计9人，其中班子成员4人，中层人员3人，基层管理人员2人，无劳务派遣人员。</w:t>
      </w: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  <w:t>公司本部</w:t>
      </w: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  <w:lang w:eastAsia="zh-CN"/>
        </w:rPr>
        <w:t>设有</w:t>
      </w: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  <w:t>综合办公室、计划财务部、生产运营中心三个科室。截至2026年</w:t>
      </w: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9</w:t>
      </w: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  <w:t>月</w:t>
      </w: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30</w:t>
      </w: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  <w:t>日，</w:t>
      </w: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  <w:lang w:eastAsia="zh-CN"/>
        </w:rPr>
        <w:t>公司</w:t>
      </w: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  <w:t>开发总面积</w:t>
      </w: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  <w:lang w:eastAsia="zh-CN"/>
        </w:rPr>
        <w:t>达</w:t>
      </w: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  <w:t>207.55万余平方米，服务居民1.37万余户。</w:t>
      </w:r>
    </w:p>
    <w:p w14:paraId="5462927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3" w:firstLineChars="200"/>
        <w:textAlignment w:val="auto"/>
        <w:rPr>
          <w:rFonts w:hint="default" w:ascii="Times New Roman" w:hAnsi="Times New Roman" w:eastAsia="方正黑体简体" w:cs="Times New Roman"/>
          <w:b w:val="0"/>
          <w:bCs w:val="0"/>
          <w:sz w:val="28"/>
          <w:szCs w:val="28"/>
          <w:lang w:val="en-US" w:eastAsia="zh-CN"/>
        </w:rPr>
      </w:pPr>
      <w:r>
        <w:rPr>
          <w:rFonts w:hint="default" w:ascii="Times New Roman" w:hAnsi="Times New Roman" w:eastAsia="方正黑体简体" w:cs="Times New Roman"/>
          <w:b/>
          <w:bCs/>
          <w:sz w:val="32"/>
          <w:szCs w:val="32"/>
        </w:rPr>
        <w:t>二、主要会计数据和财务指标</w:t>
      </w:r>
      <w:r>
        <w:rPr>
          <w:rFonts w:hint="default" w:ascii="Times New Roman" w:hAnsi="Times New Roman" w:eastAsia="方正黑体简体" w:cs="Times New Roman"/>
          <w:b w:val="0"/>
          <w:bCs w:val="0"/>
          <w:sz w:val="28"/>
          <w:szCs w:val="28"/>
          <w:lang w:val="en-US" w:eastAsia="zh-CN"/>
        </w:rPr>
        <w:t>（截至到2026年9月30日）</w:t>
      </w:r>
    </w:p>
    <w:p w14:paraId="08F894C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0" w:firstLineChars="200"/>
        <w:jc w:val="center"/>
        <w:textAlignment w:val="auto"/>
        <w:rPr>
          <w:rFonts w:hint="default" w:ascii="Times New Roman" w:hAnsi="Times New Roman" w:eastAsia="方正黑体简体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黑体简体" w:cs="Times New Roman"/>
          <w:b w:val="0"/>
          <w:bCs w:val="0"/>
          <w:sz w:val="32"/>
          <w:szCs w:val="32"/>
          <w:lang w:val="en-US" w:eastAsia="zh-CN"/>
        </w:rPr>
        <w:t>2026年三季度主要财务数据</w:t>
      </w:r>
    </w:p>
    <w:p w14:paraId="3ACE5E3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firstLine="7360" w:firstLineChars="2300"/>
        <w:jc w:val="both"/>
        <w:textAlignment w:val="auto"/>
        <w:rPr>
          <w:rFonts w:hint="default" w:ascii="Times New Roman" w:hAnsi="Times New Roman" w:eastAsia="方正黑体简体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黑体简体" w:cs="Times New Roman"/>
          <w:sz w:val="32"/>
          <w:szCs w:val="32"/>
          <w:lang w:val="en-US" w:eastAsia="zh-CN"/>
        </w:rPr>
        <w:t>单位：万元</w:t>
      </w:r>
    </w:p>
    <w:tbl>
      <w:tblPr>
        <w:tblStyle w:val="9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054"/>
        <w:gridCol w:w="4819"/>
      </w:tblGrid>
      <w:tr w14:paraId="44023D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054" w:type="dxa"/>
            <w:vAlign w:val="top"/>
          </w:tcPr>
          <w:p w14:paraId="4142AE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</w:pPr>
            <w:r>
              <w:rPr>
                <w:rFonts w:hint="eastAsia" w:ascii="方正黑体简体" w:hAnsi="方正黑体简体" w:eastAsia="方正黑体简体" w:cs="方正黑体简体"/>
                <w:b/>
                <w:bCs/>
                <w:sz w:val="32"/>
                <w:szCs w:val="32"/>
                <w:lang w:val="en-US" w:eastAsia="zh-CN"/>
              </w:rPr>
              <w:t>项  目</w:t>
            </w:r>
          </w:p>
        </w:tc>
        <w:tc>
          <w:tcPr>
            <w:tcW w:w="4819" w:type="dxa"/>
            <w:vAlign w:val="center"/>
          </w:tcPr>
          <w:p w14:paraId="291E3B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方正黑体简体" w:hAnsi="方正黑体简体" w:eastAsia="方正黑体简体" w:cs="方正黑体简体"/>
                <w:b/>
                <w:bCs/>
                <w:sz w:val="32"/>
                <w:szCs w:val="32"/>
                <w:lang w:val="en-US" w:eastAsia="zh-CN"/>
              </w:rPr>
              <w:t>金  额</w:t>
            </w:r>
          </w:p>
        </w:tc>
      </w:tr>
      <w:tr w14:paraId="6EF30C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054" w:type="dxa"/>
          </w:tcPr>
          <w:p w14:paraId="08CDA5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</w:pPr>
            <w:bookmarkStart w:id="0" w:name="_GoBack"/>
            <w:bookmarkEnd w:id="0"/>
            <w:r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  <w:t>营业总收入</w:t>
            </w:r>
          </w:p>
        </w:tc>
        <w:tc>
          <w:tcPr>
            <w:tcW w:w="4819" w:type="dxa"/>
            <w:vAlign w:val="center"/>
          </w:tcPr>
          <w:p w14:paraId="5E2649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  <w:lang w:val="en-US" w:eastAsia="zh-CN"/>
              </w:rPr>
              <w:t>2,193.64</w:t>
            </w:r>
          </w:p>
        </w:tc>
      </w:tr>
      <w:tr w14:paraId="3687F6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054" w:type="dxa"/>
          </w:tcPr>
          <w:p w14:paraId="67E910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  <w:t>营业总成本</w:t>
            </w:r>
          </w:p>
        </w:tc>
        <w:tc>
          <w:tcPr>
            <w:tcW w:w="4819" w:type="dxa"/>
            <w:vAlign w:val="center"/>
          </w:tcPr>
          <w:p w14:paraId="60A432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  <w:lang w:val="en-US" w:eastAsia="zh-CN"/>
              </w:rPr>
              <w:t>2,660.47</w:t>
            </w:r>
          </w:p>
        </w:tc>
      </w:tr>
      <w:tr w14:paraId="16EECC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054" w:type="dxa"/>
          </w:tcPr>
          <w:p w14:paraId="734EFB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  <w:t>利润总额</w:t>
            </w:r>
          </w:p>
        </w:tc>
        <w:tc>
          <w:tcPr>
            <w:tcW w:w="4819" w:type="dxa"/>
            <w:vAlign w:val="center"/>
          </w:tcPr>
          <w:p w14:paraId="2D612C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  <w:lang w:val="en-US" w:eastAsia="zh-CN"/>
              </w:rPr>
              <w:t>39.49</w:t>
            </w:r>
          </w:p>
        </w:tc>
      </w:tr>
      <w:tr w14:paraId="5184F2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054" w:type="dxa"/>
          </w:tcPr>
          <w:p w14:paraId="221D3B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  <w:t>净利润</w:t>
            </w:r>
          </w:p>
        </w:tc>
        <w:tc>
          <w:tcPr>
            <w:tcW w:w="4819" w:type="dxa"/>
            <w:vAlign w:val="center"/>
          </w:tcPr>
          <w:p w14:paraId="12DFC4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  <w:lang w:val="en-US" w:eastAsia="zh-CN"/>
              </w:rPr>
              <w:t>9.22</w:t>
            </w:r>
          </w:p>
        </w:tc>
      </w:tr>
      <w:tr w14:paraId="4E2C96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054" w:type="dxa"/>
          </w:tcPr>
          <w:p w14:paraId="03A47F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  <w:t>资产总额</w:t>
            </w:r>
          </w:p>
        </w:tc>
        <w:tc>
          <w:tcPr>
            <w:tcW w:w="4819" w:type="dxa"/>
            <w:vAlign w:val="center"/>
          </w:tcPr>
          <w:p w14:paraId="62D98D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  <w:lang w:val="en-US" w:eastAsia="zh-CN"/>
              </w:rPr>
              <w:t>10,669.69</w:t>
            </w:r>
          </w:p>
        </w:tc>
      </w:tr>
      <w:tr w14:paraId="27C21C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054" w:type="dxa"/>
          </w:tcPr>
          <w:p w14:paraId="0AC741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  <w:t>负债总额</w:t>
            </w:r>
          </w:p>
        </w:tc>
        <w:tc>
          <w:tcPr>
            <w:tcW w:w="4819" w:type="dxa"/>
            <w:vAlign w:val="center"/>
          </w:tcPr>
          <w:p w14:paraId="0A854D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  <w:lang w:val="en-US" w:eastAsia="zh-CN"/>
              </w:rPr>
              <w:t>9,186.95</w:t>
            </w:r>
          </w:p>
        </w:tc>
      </w:tr>
      <w:tr w14:paraId="2DD7D5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054" w:type="dxa"/>
          </w:tcPr>
          <w:p w14:paraId="34773F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  <w:t>所有者权益</w:t>
            </w:r>
          </w:p>
        </w:tc>
        <w:tc>
          <w:tcPr>
            <w:tcW w:w="4819" w:type="dxa"/>
            <w:vAlign w:val="center"/>
          </w:tcPr>
          <w:p w14:paraId="48BD73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  <w:lang w:val="en-US" w:eastAsia="zh-CN"/>
              </w:rPr>
              <w:t>1,482.74</w:t>
            </w:r>
          </w:p>
        </w:tc>
      </w:tr>
    </w:tbl>
    <w:p w14:paraId="084F9192">
      <w:pPr>
        <w:keepNext w:val="0"/>
        <w:keepLines w:val="0"/>
        <w:pageBreakBefore w:val="0"/>
        <w:widowControl/>
        <w:kinsoku/>
        <w:wordWrap/>
        <w:overflowPunct w:val="0"/>
        <w:topLinePunct/>
        <w:autoSpaceDE/>
        <w:autoSpaceDN/>
        <w:bidi w:val="0"/>
        <w:adjustRightInd/>
        <w:snapToGrid/>
        <w:spacing w:line="600" w:lineRule="exact"/>
        <w:ind w:firstLine="643" w:firstLineChars="200"/>
        <w:textAlignment w:val="auto"/>
        <w:rPr>
          <w:rFonts w:hint="default" w:ascii="Times New Roman" w:hAnsi="Times New Roman" w:eastAsia="方正黑体简体" w:cs="Times New Roman"/>
          <w:b/>
          <w:bCs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黑体简体" w:cs="Times New Roman"/>
          <w:b/>
          <w:bCs/>
          <w:sz w:val="32"/>
          <w:szCs w:val="32"/>
        </w:rPr>
        <w:t>三、</w:t>
      </w:r>
      <w:r>
        <w:rPr>
          <w:rFonts w:hint="default" w:ascii="Times New Roman" w:hAnsi="Times New Roman" w:eastAsia="方正黑体简体" w:cs="Times New Roman"/>
          <w:b/>
          <w:bCs/>
          <w:sz w:val="32"/>
          <w:szCs w:val="32"/>
          <w:lang w:val="en-US" w:eastAsia="zh-CN"/>
        </w:rPr>
        <w:t>2026年三季度</w:t>
      </w:r>
      <w:r>
        <w:rPr>
          <w:rFonts w:hint="default" w:ascii="Times New Roman" w:hAnsi="Times New Roman" w:eastAsia="方正黑体简体" w:cs="Times New Roman"/>
          <w:b/>
          <w:bCs/>
          <w:sz w:val="32"/>
          <w:szCs w:val="32"/>
        </w:rPr>
        <w:t>财务预算</w:t>
      </w:r>
      <w:r>
        <w:rPr>
          <w:rFonts w:hint="default" w:ascii="Times New Roman" w:hAnsi="Times New Roman" w:eastAsia="方正黑体简体" w:cs="Times New Roman"/>
          <w:b/>
          <w:bCs/>
          <w:sz w:val="32"/>
          <w:szCs w:val="32"/>
          <w:lang w:val="en-US" w:eastAsia="zh-CN"/>
        </w:rPr>
        <w:t>执行情况</w:t>
      </w:r>
    </w:p>
    <w:p w14:paraId="54C978E8">
      <w:pPr>
        <w:keepNext w:val="0"/>
        <w:keepLines w:val="0"/>
        <w:pageBreakBefore w:val="0"/>
        <w:widowControl/>
        <w:kinsoku/>
        <w:wordWrap/>
        <w:overflowPunct w:val="0"/>
        <w:topLinePunct/>
        <w:autoSpaceDE/>
        <w:autoSpaceDN/>
        <w:bidi w:val="0"/>
        <w:adjustRightInd/>
        <w:snapToGrid/>
        <w:spacing w:line="600" w:lineRule="exact"/>
        <w:ind w:firstLine="643" w:firstLineChars="200"/>
        <w:textAlignment w:val="auto"/>
        <w:rPr>
          <w:rFonts w:hint="default" w:ascii="Times New Roman" w:hAnsi="Times New Roman" w:eastAsia="方正黑体简体" w:cs="Times New Roman"/>
          <w:b/>
          <w:bCs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简体" w:cs="Times New Roman"/>
          <w:b/>
          <w:bCs/>
          <w:color w:val="000000"/>
          <w:sz w:val="32"/>
          <w:szCs w:val="32"/>
          <w:highlight w:val="none"/>
          <w:lang w:val="en-US" w:eastAsia="zh-CN" w:bidi="ar-SA"/>
        </w:rPr>
        <w:t>2026年全年预算营业总收入为4101.69万元，截至9月底实现营业收入2193.64万元，完成率为53.48%；全年预算利润总额为290.26万元，截至9月底实现利润总额39.49万元，完成率为13.61%。</w:t>
      </w:r>
    </w:p>
    <w:p w14:paraId="5218B35E"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 w:val="0"/>
        <w:topLinePunct/>
        <w:autoSpaceDE/>
        <w:autoSpaceDN/>
        <w:bidi w:val="0"/>
        <w:adjustRightInd/>
        <w:snapToGrid/>
        <w:spacing w:line="600" w:lineRule="exact"/>
        <w:ind w:firstLine="643" w:firstLineChars="200"/>
        <w:textAlignment w:val="auto"/>
        <w:rPr>
          <w:rFonts w:hint="default" w:ascii="Times New Roman" w:hAnsi="Times New Roman" w:eastAsia="方正黑体简体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方正黑体简体" w:cs="Times New Roman"/>
          <w:b/>
          <w:bCs/>
          <w:sz w:val="32"/>
          <w:szCs w:val="32"/>
          <w:lang w:val="en-US" w:eastAsia="zh-CN"/>
        </w:rPr>
        <w:t>三季度</w:t>
      </w:r>
      <w:r>
        <w:rPr>
          <w:rFonts w:hint="default" w:ascii="Times New Roman" w:hAnsi="Times New Roman" w:eastAsia="方正黑体简体" w:cs="Times New Roman"/>
          <w:b/>
          <w:bCs/>
          <w:sz w:val="32"/>
          <w:szCs w:val="32"/>
        </w:rPr>
        <w:t>内重大事项及对企业的影响</w:t>
      </w:r>
    </w:p>
    <w:p w14:paraId="20881442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 w:val="0"/>
        <w:topLinePunct/>
        <w:autoSpaceDE/>
        <w:autoSpaceDN/>
        <w:bidi w:val="0"/>
        <w:adjustRightInd/>
        <w:snapToGrid/>
        <w:spacing w:line="600" w:lineRule="exact"/>
        <w:ind w:firstLine="643" w:firstLineChars="200"/>
        <w:textAlignment w:val="auto"/>
        <w:rPr>
          <w:rFonts w:hint="default" w:ascii="Times New Roman" w:hAnsi="Times New Roman" w:eastAsia="方正仿宋简体" w:cs="Times New Roman"/>
          <w:b/>
          <w:bCs/>
          <w:color w:val="000000"/>
          <w:sz w:val="32"/>
          <w:szCs w:val="32"/>
          <w:highlight w:val="none"/>
          <w:lang w:val="en-US" w:eastAsia="zh-CN" w:bidi="ar-SA"/>
        </w:rPr>
      </w:pPr>
      <w:r>
        <w:rPr>
          <w:rFonts w:hint="default" w:ascii="Times New Roman" w:hAnsi="Times New Roman" w:eastAsia="方正仿宋简体" w:cs="Times New Roman"/>
          <w:b/>
          <w:bCs/>
          <w:color w:val="000000"/>
          <w:sz w:val="32"/>
          <w:szCs w:val="32"/>
          <w:highlight w:val="none"/>
          <w:lang w:val="en-US" w:eastAsia="zh-CN" w:bidi="ar-SA"/>
        </w:rPr>
        <w:t>无。</w:t>
      </w:r>
    </w:p>
    <w:sectPr>
      <w:pgSz w:w="11906" w:h="16838"/>
      <w:pgMar w:top="2098" w:right="1474" w:bottom="1984" w:left="158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2000000000000000000"/>
    <w:charset w:val="86"/>
    <w:family w:val="script"/>
    <w:pitch w:val="default"/>
    <w:sig w:usb0="00000000" w:usb1="00000000" w:usb2="00000012" w:usb3="00000000" w:csb0="00040001" w:csb1="00000000"/>
  </w:font>
  <w:font w:name="方正黑体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仿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WPSEMBED25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WPSEMBED26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DB7327B"/>
    <w:multiLevelType w:val="singleLevel"/>
    <w:tmpl w:val="7DB7327B"/>
    <w:lvl w:ilvl="0" w:tentative="0">
      <w:start w:val="4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ZlZWY1MTZiMTkyZjJiYmE4ZmY2NmQ4YzIyODA0ODMifQ=="/>
  </w:docVars>
  <w:rsids>
    <w:rsidRoot w:val="13CC2444"/>
    <w:rsid w:val="001410B8"/>
    <w:rsid w:val="00332EF0"/>
    <w:rsid w:val="003F77BE"/>
    <w:rsid w:val="007E3428"/>
    <w:rsid w:val="007E5379"/>
    <w:rsid w:val="00AC6AB4"/>
    <w:rsid w:val="00BC3130"/>
    <w:rsid w:val="00C455E3"/>
    <w:rsid w:val="00C65B77"/>
    <w:rsid w:val="00D321DA"/>
    <w:rsid w:val="00EA422D"/>
    <w:rsid w:val="00FC157F"/>
    <w:rsid w:val="03BC138E"/>
    <w:rsid w:val="04F419D9"/>
    <w:rsid w:val="06DF3B7E"/>
    <w:rsid w:val="074D3623"/>
    <w:rsid w:val="09EC724C"/>
    <w:rsid w:val="0D052EAD"/>
    <w:rsid w:val="0D6D5D2C"/>
    <w:rsid w:val="103E05DD"/>
    <w:rsid w:val="10FE25D1"/>
    <w:rsid w:val="13CC2444"/>
    <w:rsid w:val="15D840D8"/>
    <w:rsid w:val="17852965"/>
    <w:rsid w:val="180477A4"/>
    <w:rsid w:val="19560A59"/>
    <w:rsid w:val="1C496371"/>
    <w:rsid w:val="1D6B4199"/>
    <w:rsid w:val="21EA12B6"/>
    <w:rsid w:val="24863878"/>
    <w:rsid w:val="29D47C5C"/>
    <w:rsid w:val="2A4822AF"/>
    <w:rsid w:val="2AAF4215"/>
    <w:rsid w:val="2D9F5C7A"/>
    <w:rsid w:val="33A670F3"/>
    <w:rsid w:val="35D9381B"/>
    <w:rsid w:val="35FA4023"/>
    <w:rsid w:val="373830F8"/>
    <w:rsid w:val="386C196C"/>
    <w:rsid w:val="39363D16"/>
    <w:rsid w:val="3C80757D"/>
    <w:rsid w:val="3F6A64F8"/>
    <w:rsid w:val="40E1715D"/>
    <w:rsid w:val="419C0824"/>
    <w:rsid w:val="44244964"/>
    <w:rsid w:val="4D16313C"/>
    <w:rsid w:val="4F0624DD"/>
    <w:rsid w:val="50DE6667"/>
    <w:rsid w:val="57404164"/>
    <w:rsid w:val="59EC48C6"/>
    <w:rsid w:val="5C83014D"/>
    <w:rsid w:val="5C9F0B8E"/>
    <w:rsid w:val="5D75511C"/>
    <w:rsid w:val="5E145AF2"/>
    <w:rsid w:val="5F372BCB"/>
    <w:rsid w:val="5F412942"/>
    <w:rsid w:val="60785E58"/>
    <w:rsid w:val="678437B5"/>
    <w:rsid w:val="6CF238C8"/>
    <w:rsid w:val="6D181D07"/>
    <w:rsid w:val="70C1078D"/>
    <w:rsid w:val="72D94FAB"/>
    <w:rsid w:val="7451111C"/>
    <w:rsid w:val="75D26FF0"/>
    <w:rsid w:val="775A30EF"/>
    <w:rsid w:val="7FC25A17"/>
    <w:rsid w:val="7FC82E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qFormat="1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nhideWhenUsed="0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</w:style>
  <w:style w:type="paragraph" w:styleId="3">
    <w:name w:val="Body Text Indent"/>
    <w:basedOn w:val="1"/>
    <w:unhideWhenUsed/>
    <w:qFormat/>
    <w:uiPriority w:val="99"/>
    <w:pPr>
      <w:ind w:left="420" w:leftChars="200"/>
    </w:pPr>
  </w:style>
  <w:style w:type="paragraph" w:styleId="4">
    <w:name w:val="footer"/>
    <w:basedOn w:val="1"/>
    <w:link w:val="12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Body Text First Indent"/>
    <w:basedOn w:val="2"/>
    <w:qFormat/>
    <w:uiPriority w:val="0"/>
    <w:pPr>
      <w:ind w:firstLine="420" w:firstLineChars="100"/>
    </w:pPr>
  </w:style>
  <w:style w:type="paragraph" w:styleId="7">
    <w:name w:val="Body Text First Indent 2"/>
    <w:basedOn w:val="3"/>
    <w:next w:val="6"/>
    <w:qFormat/>
    <w:uiPriority w:val="99"/>
    <w:pPr>
      <w:ind w:firstLine="420" w:firstLineChars="200"/>
    </w:pPr>
  </w:style>
  <w:style w:type="table" w:styleId="9">
    <w:name w:val="Table Grid"/>
    <w:basedOn w:val="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1">
    <w:name w:val="页眉 字符"/>
    <w:basedOn w:val="10"/>
    <w:link w:val="5"/>
    <w:qFormat/>
    <w:uiPriority w:val="0"/>
    <w:rPr>
      <w:kern w:val="2"/>
      <w:sz w:val="18"/>
      <w:szCs w:val="18"/>
    </w:rPr>
  </w:style>
  <w:style w:type="character" w:customStyle="1" w:styleId="12">
    <w:name w:val="页脚 字符"/>
    <w:basedOn w:val="10"/>
    <w:link w:val="4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6308a6dc-f22a-4818-bc0d-d0f83780ec04</errorID>
      <errorWord>:</errorWord>
      <group>L1_Format</group>
      <groupName>格式问题</groupName>
      <ability>L2_HalfPunc</ability>
      <abilityName>全半角检查</abilityName>
      <candidateList>
        <item>：</item>
      </candidateList>
      <explain>文本全半角错误。</explain>
      <paraID>5ED98888</paraID>
      <start>11</start>
      <end>12</end>
      <status>modified</status>
      <modifiedWord>：</modifiedWord>
      <trackRevisions>false</trackRevisions>
    </reviewItem>
    <reviewItem>
      <errorID>6a8151b5-a831-4953-98a3-b26ca5d767bb</errorID>
      <errorWord>;</errorWord>
      <group>L1_Format</group>
      <groupName>格式问题</groupName>
      <ability>L2_HalfPunc</ability>
      <abilityName>全半角检查</abilityName>
      <candidateList>
        <item>；</item>
      </candidateList>
      <explain>文本全半角错误。</explain>
      <paraID>5ED98888</paraID>
      <start>16</start>
      <end>17</end>
      <status>modified</status>
      <modifiedWord>；</modifiedWord>
      <trackRevisions>false</trackRevisions>
    </reviewItem>
    <reviewItem>
      <errorID>87774948-dcbd-442c-b1b6-1f0f2edaba38</errorID>
      <errorWord>,</errorWord>
      <group>L1_Format</group>
      <groupName>格式问题</groupName>
      <ability>L2_HalfPunc</ability>
      <abilityName>全半角检查</abilityName>
      <candidateList>
        <item>，</item>
      </candidateList>
      <explain>文本全半角错误。</explain>
      <paraID>5ED98888</paraID>
      <start>51</start>
      <end>52</end>
      <status>modified</status>
      <modifiedWord>，</modifiedWord>
      <trackRevisions>false</trackRevisions>
    </reviewItem>
    <reviewItem>
      <errorID>ace382d3-ed13-4663-bb3d-f6a20774da7a</errorID>
      <errorWord>:</errorWord>
      <group>L1_Format</group>
      <groupName>格式问题</groupName>
      <ability>L2_HalfPunc</ability>
      <abilityName>全半角检查</abilityName>
      <candidateList>
        <item>：</item>
      </candidateList>
      <explain>文本全半角错误。</explain>
      <paraID>5ED98888</paraID>
      <start>80</start>
      <end>81</end>
      <status>modified</status>
      <modifiedWord>：</modifiedWord>
      <trackRevisions>false</trackRevisions>
    </reviewItem>
    <reviewItem>
      <errorID>8f8b7af2-b982-429f-bb24-a85b55218f9c</errorID>
      <errorWord>;</errorWord>
      <group>L1_Format</group>
      <groupName>格式问题</groupName>
      <ability>L2_HalfPunc</ability>
      <abilityName>全半角检查</abilityName>
      <candidateList>
        <item>；</item>
      </candidateList>
      <explain>文本全半角错误。</explain>
      <paraID>5ED98888</paraID>
      <start>100</start>
      <end>101</end>
      <status>modified</status>
      <modifiedWord>；</modifiedWord>
      <trackRevisions>false</trackRevisions>
    </reviewItem>
    <reviewItem>
      <errorID>810afed1-cbc9-4ce1-93ec-4dcb75246240</errorID>
      <errorWord>;</errorWord>
      <group>L1_Format</group>
      <groupName>格式问题</groupName>
      <ability>L2_HalfPunc</ability>
      <abilityName>全半角检查</abilityName>
      <candidateList>
        <item>；</item>
      </candidateList>
      <explain>文本全半角错误。</explain>
      <paraID>5ED98888</paraID>
      <start>107</start>
      <end>108</end>
      <status>modified</status>
      <modifiedWord>；</modifiedWord>
      <trackRevisions>false</trackRevisions>
    </reviewItem>
    <reviewItem>
      <errorID>cf3a28d7-6f87-422b-86fa-947b87a24553</errorID>
      <errorWord>:</errorWord>
      <group>L1_Format</group>
      <groupName>格式问题</groupName>
      <ability>L2_HalfPunc</ability>
      <abilityName>全半角检查</abilityName>
      <candidateList>
        <item>：</item>
      </candidateList>
      <explain>文本全半角错误。</explain>
      <paraID>3401613B</paraID>
      <start>6</start>
      <end>7</end>
      <status>modified</status>
      <modifiedWord>：</modifiedWord>
      <trackRevisions>false</trackRevisions>
    </reviewItem>
    <reviewItem>
      <errorID>abbafa69-dbd1-45e9-8d14-924a20fda326</errorID>
      <errorWord>截至到2026年</errorWord>
      <group>L1_Word</group>
      <groupName>字词问题</groupName>
      <ability>L2_Typo</ability>
      <abilityName>字词错误</abilityName>
      <candidateList>
        <item>截至2026年</item>
      </candidateList>
      <explain/>
      <paraID>54629271</paraID>
      <start>14</start>
      <end>22</end>
      <status>ignored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26fe9a69-f18f-4235-b13d-b551f5f7afe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710</Words>
  <Characters>822</Characters>
  <Lines>5</Lines>
  <Paragraphs>1</Paragraphs>
  <TotalTime>0</TotalTime>
  <ScaleCrop>false</ScaleCrop>
  <LinksUpToDate>false</LinksUpToDate>
  <CharactersWithSpaces>823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2022-06-30T02:09:00Z</dcterms:created>
  <dc:creator>Mr.X</dc:creator>
  <cp:lastModifiedBy>糖纸YSAYC</cp:lastModifiedBy>
  <dcterms:modified xsi:type="dcterms:W3CDTF">2026-10-22T01:35:44Z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2DCFB93CC8FA42B08DCCE424F2379372_13</vt:lpwstr>
  </property>
  <property fmtid="{D5CDD505-2E9C-101B-9397-08002B2CF9AE}" pid="4" name="KSOTemplateDocerSaveRecord">
    <vt:lpwstr>eyJoZGlkIjoiNzIwOTlmMmQ5NjA4YjA1ODA1NDIwOGE3ZWYzMjM4MGQiLCJ1c2VySWQiOiI1MDM0MDUxODUifQ==</vt:lpwstr>
  </property>
</Properties>
</file>