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CC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  <w:lang w:val="en-US" w:eastAsia="zh-CN"/>
        </w:rPr>
        <w:t>汶上县泉河污水处理有限公司</w:t>
      </w:r>
    </w:p>
    <w:bookmarkEnd w:id="0"/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</w:rPr>
        <w:t>重大信息公开</w:t>
      </w:r>
    </w:p>
    <w:p w14:paraId="03A62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 xml:space="preserve">一、公司基本情况 </w:t>
      </w:r>
    </w:p>
    <w:p w14:paraId="64272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  <w:t>1.公司名称：汶上县泉河污水处理有限公司</w:t>
      </w:r>
    </w:p>
    <w:p w14:paraId="7F4E2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  <w:t>2.法定代表人：王晓静</w:t>
      </w:r>
    </w:p>
    <w:p w14:paraId="7FEE4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  <w:t>3.注册地址：汶上县郭仓镇政府南3000米</w:t>
      </w:r>
    </w:p>
    <w:p w14:paraId="32042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  <w:t>4.经营范围：（1）一般项目：水污染治理；建筑材料销售；水环境污染防治服务；市政设施管理。（除依法须经批准的项目外，凭营业执照依法自主开展经营活动）（2）许可项目：城市生活垃圾经营性服务；建设工程施工。（依法须经批准的项目，经相关部门批准后方可开展经营活动，具体经营项目以相关部门批准文件或许可证件为准）</w:t>
      </w:r>
    </w:p>
    <w:p w14:paraId="339C7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  <w:t>5.公司简介: （1）泉河污水厂：汶上县泉河污水处理厂位于郭仓镇美化村东、北园大街以南，占地面积58.947亩。建设规模为4万m³/d，配套污水管网68.23公里。主要收集处理汶上县城尚书路以北的城市污水和郭仓镇镇区的污水。该工程采用“调节池+A2O+二沉+磁混凝沉淀+过滤+消毒”工艺，出水水质达到类V类地表水水质，总投资2.4亿万元，目前，出水水质达到《城镇污水处理厂污染物排放标准》(GB18918-2002)一级A标准后排入人工湿地作进一步净化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88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346DE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067E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22339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716E5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营业总收入</w:t>
            </w:r>
          </w:p>
        </w:tc>
        <w:tc>
          <w:tcPr>
            <w:tcW w:w="4819" w:type="dxa"/>
            <w:vAlign w:val="top"/>
          </w:tcPr>
          <w:p w14:paraId="47FAE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1398.7</w:t>
            </w:r>
          </w:p>
        </w:tc>
      </w:tr>
      <w:tr w14:paraId="0CE13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营业总成本</w:t>
            </w:r>
          </w:p>
        </w:tc>
        <w:tc>
          <w:tcPr>
            <w:tcW w:w="4819" w:type="dxa"/>
            <w:vAlign w:val="top"/>
          </w:tcPr>
          <w:p w14:paraId="281D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1375.7</w:t>
            </w:r>
          </w:p>
        </w:tc>
      </w:tr>
      <w:tr w14:paraId="340CB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利润总额</w:t>
            </w:r>
          </w:p>
        </w:tc>
        <w:tc>
          <w:tcPr>
            <w:tcW w:w="4819" w:type="dxa"/>
            <w:vAlign w:val="top"/>
          </w:tcPr>
          <w:p w14:paraId="62F7A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23</w:t>
            </w:r>
          </w:p>
        </w:tc>
      </w:tr>
      <w:tr w14:paraId="3C32B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净利润</w:t>
            </w:r>
          </w:p>
        </w:tc>
        <w:tc>
          <w:tcPr>
            <w:tcW w:w="4819" w:type="dxa"/>
            <w:vAlign w:val="top"/>
          </w:tcPr>
          <w:p w14:paraId="7494A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6.8</w:t>
            </w:r>
          </w:p>
        </w:tc>
      </w:tr>
      <w:tr w14:paraId="7457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资产总额</w:t>
            </w:r>
          </w:p>
        </w:tc>
        <w:tc>
          <w:tcPr>
            <w:tcW w:w="4819" w:type="dxa"/>
            <w:vAlign w:val="top"/>
          </w:tcPr>
          <w:p w14:paraId="20C98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17226.5</w:t>
            </w:r>
          </w:p>
        </w:tc>
      </w:tr>
      <w:tr w14:paraId="382E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负债总额</w:t>
            </w:r>
          </w:p>
        </w:tc>
        <w:tc>
          <w:tcPr>
            <w:tcW w:w="4819" w:type="dxa"/>
            <w:vAlign w:val="top"/>
          </w:tcPr>
          <w:p w14:paraId="0D33E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15532.3</w:t>
            </w:r>
          </w:p>
        </w:tc>
      </w:tr>
      <w:tr w14:paraId="7DC22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5695C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所有者权益</w:t>
            </w:r>
          </w:p>
        </w:tc>
        <w:tc>
          <w:tcPr>
            <w:tcW w:w="4819" w:type="dxa"/>
            <w:vAlign w:val="top"/>
          </w:tcPr>
          <w:p w14:paraId="5DEB6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1694.3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执行情况</w:t>
      </w:r>
    </w:p>
    <w:p w14:paraId="47852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1.营业收入：本年预算1900万元，截止到2026年9月30日，完成73.6%。</w:t>
      </w:r>
    </w:p>
    <w:p w14:paraId="5C4CC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2.利润总额：本年预算80万元，截止到2026年9月30日，完成28.75%。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四、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内重大事项及对企业的影响</w:t>
      </w:r>
    </w:p>
    <w:p w14:paraId="236FD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B3D24FE"/>
    <w:rsid w:val="0D052EAD"/>
    <w:rsid w:val="0D6D5D2C"/>
    <w:rsid w:val="103E05DD"/>
    <w:rsid w:val="13CC2444"/>
    <w:rsid w:val="15D840D8"/>
    <w:rsid w:val="17852965"/>
    <w:rsid w:val="180477A4"/>
    <w:rsid w:val="185A7320"/>
    <w:rsid w:val="19560A59"/>
    <w:rsid w:val="1C496371"/>
    <w:rsid w:val="21EA12B6"/>
    <w:rsid w:val="25A91223"/>
    <w:rsid w:val="27CD779A"/>
    <w:rsid w:val="29D47C5C"/>
    <w:rsid w:val="2A4822AF"/>
    <w:rsid w:val="2D9F5C7A"/>
    <w:rsid w:val="33A670F3"/>
    <w:rsid w:val="35D9381B"/>
    <w:rsid w:val="35FA4023"/>
    <w:rsid w:val="373830F8"/>
    <w:rsid w:val="3815696B"/>
    <w:rsid w:val="39675836"/>
    <w:rsid w:val="3F6A64F8"/>
    <w:rsid w:val="40E1715D"/>
    <w:rsid w:val="419C0824"/>
    <w:rsid w:val="44244964"/>
    <w:rsid w:val="4D16313C"/>
    <w:rsid w:val="50DE6667"/>
    <w:rsid w:val="57404164"/>
    <w:rsid w:val="58C3625F"/>
    <w:rsid w:val="59EC48C6"/>
    <w:rsid w:val="5C83014D"/>
    <w:rsid w:val="5D75511C"/>
    <w:rsid w:val="5E145AF2"/>
    <w:rsid w:val="5F372BCB"/>
    <w:rsid w:val="5F412942"/>
    <w:rsid w:val="60785E58"/>
    <w:rsid w:val="678437B5"/>
    <w:rsid w:val="6CF238C8"/>
    <w:rsid w:val="70C1078D"/>
    <w:rsid w:val="712E0982"/>
    <w:rsid w:val="72D94FAB"/>
    <w:rsid w:val="7451111C"/>
    <w:rsid w:val="75D26FF0"/>
    <w:rsid w:val="775A30EF"/>
    <w:rsid w:val="7790726E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592</Words>
  <Characters>697</Characters>
  <Lines>5</Lines>
  <Paragraphs>1</Paragraphs>
  <TotalTime>0</TotalTime>
  <ScaleCrop>false</ScaleCrop>
  <LinksUpToDate>false</LinksUpToDate>
  <CharactersWithSpaces>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2026-10-22T07:24:48Z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374ABFBD34A74DF4924648450AE8BBB9_13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