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67DE">
      <w:pPr>
        <w:pStyle w:val="3"/>
        <w:spacing w:line="7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山东公用控股有限公司</w:t>
      </w:r>
    </w:p>
    <w:p w14:paraId="030C3A07">
      <w:pPr>
        <w:pStyle w:val="3"/>
        <w:spacing w:line="7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  <w:highlight w:val="yellow"/>
          <w:lang w:val="en-US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/>
        </w:rPr>
        <w:t>6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/>
        </w:rPr>
        <w:t>中期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财务等重大信息公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/>
        </w:rPr>
        <w:t>开</w:t>
      </w:r>
    </w:p>
    <w:p w14:paraId="457445D9">
      <w:pPr>
        <w:pStyle w:val="3"/>
        <w:spacing w:line="7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</w:p>
    <w:p w14:paraId="6A5C0A3F">
      <w:pPr>
        <w:spacing w:line="580" w:lineRule="exact"/>
        <w:ind w:firstLine="619" w:firstLineChars="200"/>
        <w:rPr>
          <w:rFonts w:ascii="方正黑体简体" w:hAnsi="方正黑体简体" w:eastAsia="方正黑体简体" w:cs="方正黑体简体"/>
          <w:b/>
          <w:bCs/>
          <w:spacing w:val="-6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spacing w:val="-6"/>
          <w:sz w:val="32"/>
          <w:szCs w:val="32"/>
          <w:lang w:val="en-US"/>
        </w:rPr>
        <w:t>本信息公告口径说明：指标数据为山东公用法定合并报表口径。</w:t>
      </w:r>
    </w:p>
    <w:p w14:paraId="47C5A4BD">
      <w:pPr>
        <w:pStyle w:val="3"/>
        <w:spacing w:line="600" w:lineRule="exact"/>
        <w:ind w:firstLine="640" w:firstLineChars="200"/>
        <w:jc w:val="both"/>
        <w:rPr>
          <w:rFonts w:ascii="方正黑体简体" w:hAnsi="方正黑体简体" w:eastAsia="方正黑体简体" w:cs="方正黑体简体"/>
          <w:lang w:val="en-US"/>
        </w:rPr>
      </w:pPr>
    </w:p>
    <w:p w14:paraId="3A70DAE4">
      <w:pPr>
        <w:pStyle w:val="3"/>
        <w:numPr>
          <w:ilvl w:val="0"/>
          <w:numId w:val="1"/>
        </w:numPr>
        <w:spacing w:line="580" w:lineRule="exact"/>
        <w:ind w:firstLine="643" w:firstLineChars="200"/>
        <w:jc w:val="both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公司基本情况</w:t>
      </w:r>
    </w:p>
    <w:p w14:paraId="5A7DFBDB">
      <w:pPr>
        <w:pStyle w:val="3"/>
        <w:spacing w:line="580" w:lineRule="exact"/>
        <w:ind w:firstLine="643" w:firstLineChars="200"/>
        <w:jc w:val="both"/>
        <w:rPr>
          <w:rFonts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（一）基本信息</w:t>
      </w:r>
    </w:p>
    <w:p w14:paraId="40DD0305">
      <w:pPr>
        <w:pStyle w:val="3"/>
        <w:spacing w:line="58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1.名    称：山东公用控股有限公司</w:t>
      </w:r>
    </w:p>
    <w:p w14:paraId="0D8DEFC8">
      <w:pPr>
        <w:pStyle w:val="3"/>
        <w:spacing w:line="58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2.企业类型：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ab/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有限责任公司（非自然人投资或控股的法人独资）</w:t>
      </w:r>
    </w:p>
    <w:p w14:paraId="1F37C67D">
      <w:pPr>
        <w:pStyle w:val="3"/>
        <w:spacing w:line="58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3.成立日期：1993-06-27</w:t>
      </w:r>
    </w:p>
    <w:p w14:paraId="6AEDA9F8">
      <w:pPr>
        <w:pStyle w:val="3"/>
        <w:spacing w:line="58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4.法定代表人：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邓  刚</w:t>
      </w:r>
    </w:p>
    <w:p w14:paraId="4C94A159">
      <w:pPr>
        <w:pStyle w:val="3"/>
        <w:spacing w:line="58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5.注册地址：济宁市红星中路23号</w:t>
      </w:r>
    </w:p>
    <w:p w14:paraId="13164320">
      <w:pPr>
        <w:pStyle w:val="3"/>
        <w:spacing w:line="58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6.经营范围</w:t>
      </w:r>
    </w:p>
    <w:p w14:paraId="453C218E">
      <w:pPr>
        <w:pStyle w:val="3"/>
        <w:spacing w:line="580" w:lineRule="exact"/>
        <w:ind w:firstLine="643" w:firstLineChars="200"/>
        <w:jc w:val="both"/>
        <w:rPr>
          <w:rFonts w:ascii="方正仿宋简体" w:hAnsi="方正仿宋简体" w:eastAsia="方正仿宋简体" w:cs="方正仿宋简体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lang w:val="en-US"/>
        </w:rPr>
        <w:t>许可项目：自来水生产与供应；污水处理及其再生利用；热力生产和供应；建设工程施工；建设工程设计；水利工程建设监理；证券投资咨询；房地产开发经营；发电业务、输电业务、供（配）电业务；饮料生产。（依法须经批准的项目，经相关部门批准后方可开展经营活动，具体经营</w:t>
      </w:r>
      <w:r>
        <w:rPr>
          <w:rFonts w:hint="eastAsia" w:ascii="方正仿宋简体" w:hAnsi="方正仿宋简体" w:eastAsia="方正仿宋简体" w:cs="方正仿宋简体"/>
          <w:b/>
          <w:bCs/>
          <w:lang w:val="en-US"/>
        </w:rPr>
        <w:t>项目以相关部门批准文件或许可证件为准）。</w:t>
      </w:r>
    </w:p>
    <w:p w14:paraId="07653096">
      <w:pPr>
        <w:pStyle w:val="3"/>
        <w:spacing w:line="580" w:lineRule="exact"/>
        <w:ind w:firstLine="643" w:firstLineChars="200"/>
        <w:jc w:val="both"/>
        <w:rPr>
          <w:rFonts w:ascii="方正仿宋简体" w:hAnsi="方正仿宋简体" w:eastAsia="方正仿宋简体" w:cs="方正仿宋简体"/>
          <w:b/>
          <w:bCs/>
          <w:lang w:val="en-US"/>
        </w:rPr>
      </w:pPr>
      <w:r>
        <w:rPr>
          <w:rFonts w:hint="eastAsia" w:ascii="方正仿宋简体" w:hAnsi="方正仿宋简体" w:eastAsia="方正仿宋简体" w:cs="方正仿宋简体"/>
          <w:b/>
          <w:bCs/>
          <w:lang w:val="en-US"/>
        </w:rPr>
        <w:t>一般项目：水污染治理；水资源管理；创业投资（限投资未上市企业）；企业管理咨询；市场营销策划；私募股权投资基金管理、创业投资基金管理服务（须在中国证券投资基金业协会完成登记备案后方可从事经营活动）；销售代理；市政设施管理；财务咨询；储能技术服务；新能源原动设备销售；非居住房地产租赁；会议及展览服务；发电机及发电机组销售；工程管理服务；商业综合体管理服务；技术服务、技术开发、技术咨询、技术交流、技术转让、技术推广；专用化学产品销售（不含危险化学品）；煤炭及制品销售；五金产品批发；有色金属合金销售；建筑材料销售；合成材料销售；砼结构构件销售；建筑装饰材料销售；生态环境材料销售。（除依法须经批准的项目外，凭营业执照依法自主开展经营活动）</w:t>
      </w:r>
    </w:p>
    <w:p w14:paraId="0CAA9351">
      <w:pPr>
        <w:pStyle w:val="3"/>
        <w:spacing w:line="580" w:lineRule="exact"/>
        <w:ind w:firstLine="643" w:firstLineChars="200"/>
        <w:jc w:val="both"/>
        <w:rPr>
          <w:rFonts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（二）公司简介</w:t>
      </w:r>
    </w:p>
    <w:p w14:paraId="13F7F5DA">
      <w:pPr>
        <w:pStyle w:val="3"/>
        <w:spacing w:line="580" w:lineRule="exact"/>
        <w:ind w:firstLine="643" w:firstLineChars="200"/>
        <w:jc w:val="both"/>
        <w:rPr>
          <w:rFonts w:ascii="Times New Roman" w:hAnsi="Times New Roman" w:eastAsia="方正仿宋简体" w:cs="Times New Roman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</w:rPr>
        <w:t>山东公用控股有限公司是集城乡水务、热电联产、燃气供应、</w:t>
      </w:r>
      <w:r>
        <w:rPr>
          <w:rFonts w:hint="eastAsia" w:eastAsia="方正仿宋简体" w:cs="Times New Roman"/>
          <w:b/>
          <w:lang w:val="en-US"/>
        </w:rPr>
        <w:t>生态治理</w:t>
      </w:r>
      <w:r>
        <w:rPr>
          <w:rFonts w:ascii="Times New Roman" w:hAnsi="Times New Roman" w:eastAsia="方正仿宋简体" w:cs="Times New Roman"/>
          <w:b/>
        </w:rPr>
        <w:t>、</w:t>
      </w:r>
      <w:r>
        <w:rPr>
          <w:rFonts w:hint="eastAsia" w:eastAsia="方正仿宋简体" w:cs="Times New Roman"/>
          <w:b/>
          <w:lang w:val="en-US"/>
        </w:rPr>
        <w:t>建设工程</w:t>
      </w:r>
      <w:r>
        <w:rPr>
          <w:rFonts w:ascii="Times New Roman" w:hAnsi="Times New Roman" w:eastAsia="方正仿宋简体" w:cs="Times New Roman"/>
          <w:b/>
        </w:rPr>
        <w:t>、</w:t>
      </w:r>
      <w:r>
        <w:rPr>
          <w:rFonts w:ascii="Times New Roman" w:hAnsi="Times New Roman" w:eastAsia="方正仿宋简体" w:cs="Times New Roman"/>
          <w:b/>
          <w:lang w:val="en-US"/>
        </w:rPr>
        <w:t>智能制造、医养健康</w:t>
      </w:r>
      <w:r>
        <w:rPr>
          <w:rFonts w:hint="eastAsia" w:eastAsia="方正仿宋简体" w:cs="Times New Roman"/>
          <w:b/>
          <w:lang w:val="en-US"/>
        </w:rPr>
        <w:t>和新能源、现代渔业等其他新兴业务</w:t>
      </w:r>
      <w:r>
        <w:rPr>
          <w:rFonts w:ascii="Times New Roman" w:hAnsi="Times New Roman" w:eastAsia="方正仿宋简体" w:cs="Times New Roman"/>
          <w:b/>
        </w:rPr>
        <w:t>于一体的</w:t>
      </w:r>
      <w:r>
        <w:rPr>
          <w:rFonts w:hint="eastAsia" w:eastAsia="方正仿宋简体" w:cs="Times New Roman"/>
          <w:b/>
          <w:lang w:val="en-US"/>
        </w:rPr>
        <w:t>现代化产业集团</w:t>
      </w:r>
      <w:r>
        <w:rPr>
          <w:rFonts w:ascii="Times New Roman" w:hAnsi="Times New Roman" w:eastAsia="方正仿宋简体" w:cs="Times New Roman"/>
          <w:b/>
        </w:rPr>
        <w:t>。公司注册资本100亿元，下辖</w:t>
      </w:r>
      <w:r>
        <w:rPr>
          <w:rFonts w:ascii="Times New Roman" w:hAnsi="Times New Roman" w:eastAsia="方正仿宋简体" w:cs="Times New Roman"/>
          <w:b/>
          <w:lang w:val="en-US"/>
        </w:rPr>
        <w:t>各级子公司140余户</w:t>
      </w:r>
      <w:r>
        <w:rPr>
          <w:rFonts w:ascii="Times New Roman" w:hAnsi="Times New Roman" w:eastAsia="方正仿宋简体" w:cs="Times New Roman"/>
          <w:b/>
        </w:rPr>
        <w:t>。</w:t>
      </w:r>
      <w:r>
        <w:rPr>
          <w:rFonts w:ascii="Times New Roman" w:hAnsi="Times New Roman" w:eastAsia="方正仿宋简体" w:cs="Times New Roman"/>
          <w:b/>
          <w:bCs/>
          <w:lang w:val="en-US"/>
        </w:rPr>
        <w:t>截至202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6</w:t>
      </w:r>
      <w:r>
        <w:rPr>
          <w:rFonts w:ascii="Times New Roman" w:hAnsi="Times New Roman" w:eastAsia="方正仿宋简体" w:cs="Times New Roman"/>
          <w:b/>
          <w:bCs/>
          <w:lang w:val="en-US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6</w:t>
      </w:r>
      <w:r>
        <w:rPr>
          <w:rFonts w:ascii="Times New Roman" w:hAnsi="Times New Roman" w:eastAsia="方正仿宋简体" w:cs="Times New Roman"/>
          <w:b/>
          <w:bCs/>
          <w:lang w:val="en-US"/>
        </w:rPr>
        <w:t>月底，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公司资产总额达到8</w:t>
      </w:r>
      <w:r>
        <w:rPr>
          <w:rFonts w:hint="eastAsia" w:ascii="Times New Roman" w:hAnsi="Times New Roman" w:eastAsia="方正仿宋简体" w:cs="Times New Roman"/>
          <w:b/>
          <w:bCs/>
          <w:lang w:val="en-US" w:eastAsia="zh-CN"/>
        </w:rPr>
        <w:t>29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亿元</w:t>
      </w:r>
      <w:r>
        <w:rPr>
          <w:rFonts w:hint="eastAsia" w:ascii="Times New Roman" w:hAnsi="Times New Roman" w:eastAsia="方正仿宋简体" w:cs="Times New Roman"/>
          <w:b/>
          <w:bCs/>
          <w:highlight w:val="none"/>
          <w:lang w:val="en-US"/>
        </w:rPr>
        <w:t>，员工</w:t>
      </w:r>
      <w:r>
        <w:rPr>
          <w:rFonts w:hint="eastAsia" w:ascii="Times New Roman" w:hAnsi="Times New Roman" w:eastAsia="方正仿宋简体" w:cs="Times New Roman"/>
          <w:b/>
          <w:bCs/>
          <w:highlight w:val="none"/>
          <w:lang w:val="en-US" w:eastAsia="zh-CN"/>
        </w:rPr>
        <w:t>1.1万</w:t>
      </w:r>
      <w:r>
        <w:rPr>
          <w:rFonts w:hint="eastAsia" w:ascii="Times New Roman" w:hAnsi="Times New Roman" w:eastAsia="方正仿宋简体" w:cs="Times New Roman"/>
          <w:b/>
          <w:bCs/>
          <w:highlight w:val="none"/>
          <w:lang w:val="en-US"/>
        </w:rPr>
        <w:t>余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highlight w:val="none"/>
          <w:lang w:val="en-US"/>
        </w:rPr>
        <w:t>人，</w:t>
      </w:r>
      <w:r>
        <w:rPr>
          <w:rFonts w:hint="eastAsia" w:ascii="Times New Roman" w:hAnsi="Times New Roman" w:eastAsia="方正仿宋简体" w:cs="Times New Roman"/>
          <w:b/>
          <w:bCs/>
          <w:lang w:val="en-US"/>
        </w:rPr>
        <w:t>日供水能力150万立方米，日污水治理能力180万立方米，供热面积8100余万平方米，天然气用户60余万户，服务人口超过1600万人，是济宁市首家获得“AAA”级主体信用等级的企业，入选国务院国资委“科改示范企业”。先后荣获全国文明单位、全国五一劳动奖状、全国先进职工之家、山东省“攻坚克难奖”、山东省先进基层党组织等荣誉称号。近年来，山东公用把握深化国企改革的历史机遇，围绕“一个定位、两个中心、三大跨越”的总体思路，聚焦具备城市运营核心竞争力的现代产业集团发展定位，以结构性改革、市场化突破为中心，依托资本运作，强化对外合作，实现传统产业向强跨越、新兴产业向优跨越、运营管理向精跨越。城乡供水、集中供热、生态治理等公用产业经营范围涉及到山东、新疆、陕西、甘肃、山西、河南等多个省（市、区）。具备公路、建筑、水利水电、市政公用工程4项施工总承包一级资质，承建了包括济宁市主城区内环高架及连接线，崇德大道（济宁主城区至曲阜快速路），济邹、兖郓高速公路，共青团路北延高铁连接线，济宁市农村生活污水治理，济宁市引黄西线，济宁市主城区地表水厂等一批省、市重点基础设施建设项目。目前，山东公用的整体规模和综合实力已处于省内领先，进入全国第一方阵。</w:t>
      </w:r>
    </w:p>
    <w:p w14:paraId="021EF28E">
      <w:pPr>
        <w:pStyle w:val="3"/>
        <w:spacing w:line="580" w:lineRule="exact"/>
        <w:ind w:firstLine="643" w:firstLineChars="200"/>
        <w:jc w:val="both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二、主要会计数据和财务指标</w:t>
      </w:r>
    </w:p>
    <w:p w14:paraId="40D47E11">
      <w:pPr>
        <w:pStyle w:val="3"/>
        <w:spacing w:line="580" w:lineRule="exact"/>
        <w:jc w:val="center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ascii="Times New Roman" w:hAnsi="Times New Roman" w:eastAsia="方正黑体简体" w:cs="Times New Roman"/>
          <w:b/>
          <w:bCs/>
          <w:lang w:val="en-US"/>
        </w:rPr>
        <w:t>202</w:t>
      </w:r>
      <w:r>
        <w:rPr>
          <w:rFonts w:hint="eastAsia" w:ascii="Times New Roman" w:hAnsi="Times New Roman" w:eastAsia="方正黑体简体" w:cs="Times New Roman"/>
          <w:b/>
          <w:bCs/>
          <w:lang w:val="en-US"/>
        </w:rPr>
        <w:t>6</w:t>
      </w:r>
      <w:r>
        <w:rPr>
          <w:rFonts w:ascii="Times New Roman" w:hAnsi="Times New Roman" w:eastAsia="方正黑体简体" w:cs="Times New Roman"/>
          <w:b/>
          <w:bCs/>
          <w:lang w:val="en-US"/>
        </w:rPr>
        <w:t>年</w:t>
      </w:r>
      <w:r>
        <w:rPr>
          <w:rFonts w:hint="eastAsia" w:ascii="Times New Roman" w:hAnsi="Times New Roman" w:eastAsia="方正黑体简体" w:cs="Times New Roman"/>
          <w:b/>
          <w:bCs/>
          <w:lang w:val="en-US"/>
        </w:rPr>
        <w:t>中期</w:t>
      </w:r>
      <w:r>
        <w:rPr>
          <w:rFonts w:ascii="Times New Roman" w:hAnsi="Times New Roman" w:eastAsia="方正黑体简体" w:cs="Times New Roman"/>
          <w:b/>
          <w:bCs/>
          <w:lang w:val="en-US"/>
        </w:rPr>
        <w:t>主要财务数据</w:t>
      </w:r>
    </w:p>
    <w:p w14:paraId="73CBAB12">
      <w:pPr>
        <w:pStyle w:val="3"/>
        <w:spacing w:line="600" w:lineRule="exact"/>
        <w:ind w:firstLine="6325" w:firstLineChars="2100"/>
        <w:jc w:val="both"/>
        <w:rPr>
          <w:rFonts w:ascii="方正楷体简体" w:hAnsi="方正楷体简体" w:eastAsia="方正楷体简体" w:cs="方正楷体简体"/>
          <w:b/>
          <w:bCs/>
          <w:sz w:val="30"/>
          <w:szCs w:val="30"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0"/>
          <w:szCs w:val="30"/>
          <w:lang w:val="en-US"/>
        </w:rPr>
        <w:t>单位：人民币万元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927"/>
        <w:gridCol w:w="2957"/>
      </w:tblGrid>
      <w:tr w14:paraId="12198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950" w:type="dxa"/>
          </w:tcPr>
          <w:p w14:paraId="66F1E2F9">
            <w:pPr>
              <w:pStyle w:val="3"/>
              <w:spacing w:line="600" w:lineRule="exact"/>
              <w:jc w:val="center"/>
              <w:rPr>
                <w:rFonts w:ascii="方正黑体简体" w:hAnsi="方正黑体简体" w:eastAsia="方正黑体简体" w:cs="方正黑体简体"/>
                <w:b/>
                <w:bCs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lang w:val="en-US"/>
              </w:rPr>
              <w:t>项  目</w:t>
            </w:r>
          </w:p>
        </w:tc>
        <w:tc>
          <w:tcPr>
            <w:tcW w:w="2927" w:type="dxa"/>
          </w:tcPr>
          <w:p w14:paraId="2CCA71C8">
            <w:pPr>
              <w:pStyle w:val="3"/>
              <w:spacing w:line="600" w:lineRule="exact"/>
              <w:jc w:val="center"/>
              <w:rPr>
                <w:rFonts w:ascii="方正黑体简体" w:hAnsi="方正黑体简体" w:eastAsia="方正黑体简体" w:cs="方正黑体简体"/>
                <w:b/>
                <w:bCs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lang w:val="en-US"/>
              </w:rPr>
              <w:t>本期金额</w:t>
            </w:r>
          </w:p>
        </w:tc>
        <w:tc>
          <w:tcPr>
            <w:tcW w:w="2957" w:type="dxa"/>
          </w:tcPr>
          <w:p w14:paraId="629A415A">
            <w:pPr>
              <w:pStyle w:val="3"/>
              <w:spacing w:line="600" w:lineRule="exact"/>
              <w:jc w:val="center"/>
              <w:rPr>
                <w:rFonts w:ascii="方正黑体简体" w:hAnsi="方正黑体简体" w:eastAsia="方正黑体简体" w:cs="方正黑体简体"/>
                <w:b/>
                <w:bCs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lang w:val="en-US"/>
              </w:rPr>
              <w:t>上期金额</w:t>
            </w:r>
          </w:p>
        </w:tc>
      </w:tr>
      <w:tr w14:paraId="7D08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950" w:type="dxa"/>
          </w:tcPr>
          <w:p w14:paraId="436DE8C4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  <w:t>营业总收入</w:t>
            </w:r>
          </w:p>
        </w:tc>
        <w:tc>
          <w:tcPr>
            <w:tcW w:w="2927" w:type="dxa"/>
            <w:vAlign w:val="center"/>
          </w:tcPr>
          <w:p w14:paraId="6B3D5D72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753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895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01</w:t>
            </w:r>
          </w:p>
        </w:tc>
        <w:tc>
          <w:tcPr>
            <w:tcW w:w="2957" w:type="dxa"/>
            <w:vAlign w:val="center"/>
          </w:tcPr>
          <w:p w14:paraId="3760B640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749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057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07</w:t>
            </w:r>
          </w:p>
        </w:tc>
      </w:tr>
      <w:tr w14:paraId="05EF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950" w:type="dxa"/>
          </w:tcPr>
          <w:p w14:paraId="7733468D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  <w:t>营业总成本</w:t>
            </w:r>
          </w:p>
        </w:tc>
        <w:tc>
          <w:tcPr>
            <w:tcW w:w="2927" w:type="dxa"/>
            <w:vAlign w:val="center"/>
          </w:tcPr>
          <w:p w14:paraId="5ABB246C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749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263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61</w:t>
            </w:r>
          </w:p>
        </w:tc>
        <w:tc>
          <w:tcPr>
            <w:tcW w:w="2957" w:type="dxa"/>
            <w:vAlign w:val="center"/>
          </w:tcPr>
          <w:p w14:paraId="47F1C578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739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122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60</w:t>
            </w:r>
          </w:p>
        </w:tc>
      </w:tr>
      <w:tr w14:paraId="6643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950" w:type="dxa"/>
          </w:tcPr>
          <w:p w14:paraId="77A4400D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  <w:t>利润总额</w:t>
            </w:r>
          </w:p>
        </w:tc>
        <w:tc>
          <w:tcPr>
            <w:tcW w:w="2927" w:type="dxa"/>
            <w:vAlign w:val="center"/>
          </w:tcPr>
          <w:p w14:paraId="0037789C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21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132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35</w:t>
            </w:r>
          </w:p>
        </w:tc>
        <w:tc>
          <w:tcPr>
            <w:tcW w:w="2957" w:type="dxa"/>
            <w:vAlign w:val="center"/>
          </w:tcPr>
          <w:p w14:paraId="574D4233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30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422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07</w:t>
            </w:r>
          </w:p>
        </w:tc>
      </w:tr>
      <w:tr w14:paraId="612AF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950" w:type="dxa"/>
          </w:tcPr>
          <w:p w14:paraId="7756214B">
            <w:pPr>
              <w:pStyle w:val="3"/>
              <w:spacing w:line="600" w:lineRule="exact"/>
              <w:jc w:val="center"/>
              <w:rPr>
                <w:rFonts w:ascii="方正黑体简体" w:hAnsi="方正黑体简体" w:eastAsia="方正黑体简体" w:cs="方正黑体简体"/>
                <w:b/>
                <w:bCs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lang w:val="en-US" w:bidi="ar-SA"/>
              </w:rPr>
              <w:t>项  目</w:t>
            </w:r>
          </w:p>
        </w:tc>
        <w:tc>
          <w:tcPr>
            <w:tcW w:w="2927" w:type="dxa"/>
          </w:tcPr>
          <w:p w14:paraId="1317365F">
            <w:pPr>
              <w:pStyle w:val="3"/>
              <w:spacing w:line="600" w:lineRule="exact"/>
              <w:jc w:val="center"/>
              <w:rPr>
                <w:rFonts w:ascii="方正黑体简体" w:hAnsi="方正黑体简体" w:eastAsia="方正黑体简体" w:cs="方正黑体简体"/>
                <w:b/>
                <w:bCs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lang w:val="en-US" w:bidi="ar-SA"/>
              </w:rPr>
              <w:t>期末余额</w:t>
            </w:r>
          </w:p>
        </w:tc>
        <w:tc>
          <w:tcPr>
            <w:tcW w:w="2957" w:type="dxa"/>
          </w:tcPr>
          <w:p w14:paraId="270298AB">
            <w:pPr>
              <w:pStyle w:val="3"/>
              <w:spacing w:line="600" w:lineRule="exact"/>
              <w:jc w:val="center"/>
              <w:rPr>
                <w:rFonts w:ascii="方正黑体简体" w:hAnsi="方正黑体简体" w:eastAsia="方正黑体简体" w:cs="方正黑体简体"/>
                <w:b/>
                <w:bCs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lang w:val="en-US" w:bidi="ar-SA"/>
              </w:rPr>
              <w:t>期初余额</w:t>
            </w:r>
          </w:p>
        </w:tc>
      </w:tr>
      <w:tr w14:paraId="5144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950" w:type="dxa"/>
          </w:tcPr>
          <w:p w14:paraId="42C4B540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资产总额</w:t>
            </w:r>
          </w:p>
        </w:tc>
        <w:tc>
          <w:tcPr>
            <w:tcW w:w="2927" w:type="dxa"/>
            <w:vAlign w:val="center"/>
          </w:tcPr>
          <w:p w14:paraId="46AB79DC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8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290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041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68</w:t>
            </w:r>
          </w:p>
        </w:tc>
        <w:tc>
          <w:tcPr>
            <w:tcW w:w="2957" w:type="dxa"/>
            <w:vAlign w:val="center"/>
          </w:tcPr>
          <w:p w14:paraId="4550A7F9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8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645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945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48</w:t>
            </w:r>
          </w:p>
        </w:tc>
      </w:tr>
      <w:tr w14:paraId="2A3E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950" w:type="dxa"/>
          </w:tcPr>
          <w:p w14:paraId="515666E6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负债总额</w:t>
            </w:r>
          </w:p>
        </w:tc>
        <w:tc>
          <w:tcPr>
            <w:tcW w:w="2927" w:type="dxa"/>
            <w:vAlign w:val="center"/>
          </w:tcPr>
          <w:p w14:paraId="648BDBB3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5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995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822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48</w:t>
            </w:r>
          </w:p>
        </w:tc>
        <w:tc>
          <w:tcPr>
            <w:tcW w:w="2957" w:type="dxa"/>
            <w:vAlign w:val="center"/>
          </w:tcPr>
          <w:p w14:paraId="05509C15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6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425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150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08</w:t>
            </w:r>
          </w:p>
        </w:tc>
      </w:tr>
      <w:tr w14:paraId="2774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950" w:type="dxa"/>
          </w:tcPr>
          <w:p w14:paraId="7F744008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所有者权益</w:t>
            </w:r>
          </w:p>
        </w:tc>
        <w:tc>
          <w:tcPr>
            <w:tcW w:w="2927" w:type="dxa"/>
            <w:vAlign w:val="center"/>
          </w:tcPr>
          <w:p w14:paraId="3A4B77EF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2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294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219</w:t>
            </w:r>
            <w:r>
              <w:rPr>
                <w:rFonts w:ascii="Times New Roman" w:hAnsi="Times New Roman" w:eastAsia="方正仿宋简体" w:cs="Times New Roman"/>
                <w:b/>
                <w:bCs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lang w:val="en-US" w:bidi="ar-SA"/>
              </w:rPr>
              <w:t>21</w:t>
            </w:r>
          </w:p>
        </w:tc>
        <w:tc>
          <w:tcPr>
            <w:tcW w:w="2957" w:type="dxa"/>
            <w:vAlign w:val="center"/>
          </w:tcPr>
          <w:p w14:paraId="5BE89053">
            <w:pPr>
              <w:pStyle w:val="3"/>
              <w:spacing w:line="60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2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220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,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795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lang w:val="en-US" w:bidi="ar-SA"/>
              </w:rPr>
              <w:t>40</w:t>
            </w:r>
          </w:p>
        </w:tc>
      </w:tr>
    </w:tbl>
    <w:p w14:paraId="43517ACF">
      <w:pPr>
        <w:spacing w:line="200" w:lineRule="exact"/>
        <w:ind w:left="641"/>
        <w:rPr>
          <w:rFonts w:ascii="方正黑体简体" w:hAnsi="方正黑体简体" w:eastAsia="方正黑体简体" w:cs="方正黑体简体"/>
          <w:b/>
          <w:sz w:val="32"/>
          <w:szCs w:val="32"/>
          <w:lang w:val="en-US"/>
        </w:rPr>
      </w:pPr>
    </w:p>
    <w:p w14:paraId="11EDB7A5">
      <w:pPr>
        <w:spacing w:line="580" w:lineRule="exact"/>
        <w:ind w:left="640"/>
        <w:rPr>
          <w:rFonts w:ascii="方正黑体简体" w:hAnsi="方正黑体简体" w:eastAsia="方正黑体简体" w:cs="方正黑体简体"/>
          <w:b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三、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</w:rPr>
        <w:t>财务预算执行情况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 xml:space="preserve">   </w:t>
      </w:r>
    </w:p>
    <w:p w14:paraId="2EB29524">
      <w:pPr>
        <w:spacing w:line="580" w:lineRule="exact"/>
        <w:ind w:firstLine="643" w:firstLineChars="200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2026年中期，公司实现营业总收入75.39亿元，完成全年预算172.04亿元的43.82%；实现利润总额2.11亿元，完成全年预算4.19亿元的50.36%。</w:t>
      </w:r>
    </w:p>
    <w:p w14:paraId="6D2840A1">
      <w:pPr>
        <w:spacing w:line="580" w:lineRule="exact"/>
        <w:ind w:firstLine="643" w:firstLineChars="200"/>
        <w:rPr>
          <w:rFonts w:ascii="方正黑体简体" w:hAnsi="方正黑体简体" w:eastAsia="方正黑体简体" w:cs="方正黑体简体"/>
          <w:b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四、中期内重大事项及对企业的影响</w:t>
      </w:r>
    </w:p>
    <w:p w14:paraId="05A0CCF7">
      <w:pPr>
        <w:spacing w:line="580" w:lineRule="exact"/>
        <w:ind w:firstLine="643" w:firstLineChars="200"/>
        <w:rPr>
          <w:rFonts w:ascii="方正仿宋简体" w:hAnsi="方正仿宋简体" w:eastAsia="方正仿宋简体" w:cs="方正仿宋简体"/>
          <w:b/>
          <w:bCs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/>
        </w:rPr>
        <w:t>无。</w:t>
      </w:r>
    </w:p>
    <w:p w14:paraId="1E55DE1E">
      <w:pPr>
        <w:spacing w:line="580" w:lineRule="exact"/>
        <w:ind w:firstLine="640" w:firstLineChars="200"/>
        <w:rPr>
          <w:rFonts w:ascii="方正黑体简体" w:hAnsi="方正黑体简体" w:eastAsia="方正黑体简体" w:cs="方正黑体简体"/>
          <w:sz w:val="32"/>
          <w:szCs w:val="32"/>
          <w:lang w:val="en-US"/>
        </w:rPr>
      </w:pPr>
    </w:p>
    <w:p w14:paraId="387A29E1">
      <w:pPr>
        <w:rPr>
          <w:lang w:val="en-US"/>
        </w:rPr>
      </w:pPr>
    </w:p>
    <w:p w14:paraId="1AABF17F">
      <w:pPr>
        <w:ind w:firstLine="4498" w:firstLineChars="1400"/>
        <w:jc w:val="both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p w14:paraId="295A994F">
      <w:pPr>
        <w:widowControl/>
        <w:autoSpaceDE/>
        <w:autoSpaceDN/>
        <w:jc w:val="center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</w:p>
    <w:sectPr>
      <w:footerReference r:id="rId3" w:type="default"/>
      <w:pgSz w:w="11906" w:h="16838"/>
      <w:pgMar w:top="2098" w:right="1474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3B084"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64BEA3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64BEA3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wOWIyY2ZkNzVjMDQ2NzQ1MDM0Y2JhOGVjNGRlMzQifQ=="/>
  </w:docVars>
  <w:rsids>
    <w:rsidRoot w:val="00AB01EA"/>
    <w:rsid w:val="00015A87"/>
    <w:rsid w:val="000168AA"/>
    <w:rsid w:val="0004590D"/>
    <w:rsid w:val="00055844"/>
    <w:rsid w:val="000A0544"/>
    <w:rsid w:val="000B2537"/>
    <w:rsid w:val="000B6CEB"/>
    <w:rsid w:val="000C3AF0"/>
    <w:rsid w:val="000D614C"/>
    <w:rsid w:val="00121464"/>
    <w:rsid w:val="00151E71"/>
    <w:rsid w:val="00181097"/>
    <w:rsid w:val="002135C1"/>
    <w:rsid w:val="002257BB"/>
    <w:rsid w:val="0025763A"/>
    <w:rsid w:val="002706E7"/>
    <w:rsid w:val="00271CDE"/>
    <w:rsid w:val="0029304E"/>
    <w:rsid w:val="00300466"/>
    <w:rsid w:val="003008A0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5E73EC"/>
    <w:rsid w:val="00642A88"/>
    <w:rsid w:val="006448B5"/>
    <w:rsid w:val="00667382"/>
    <w:rsid w:val="006928AD"/>
    <w:rsid w:val="00693743"/>
    <w:rsid w:val="006B7A98"/>
    <w:rsid w:val="006D598A"/>
    <w:rsid w:val="006F52FD"/>
    <w:rsid w:val="00702DC4"/>
    <w:rsid w:val="00710A95"/>
    <w:rsid w:val="007209DF"/>
    <w:rsid w:val="007578D0"/>
    <w:rsid w:val="007A0DD0"/>
    <w:rsid w:val="007A5A03"/>
    <w:rsid w:val="007A7033"/>
    <w:rsid w:val="007E5D15"/>
    <w:rsid w:val="007E6DD0"/>
    <w:rsid w:val="008001A9"/>
    <w:rsid w:val="00806BE9"/>
    <w:rsid w:val="0084329B"/>
    <w:rsid w:val="008868EC"/>
    <w:rsid w:val="008A74B2"/>
    <w:rsid w:val="008D33C1"/>
    <w:rsid w:val="008F345A"/>
    <w:rsid w:val="0091505B"/>
    <w:rsid w:val="009B7FC0"/>
    <w:rsid w:val="009C4B22"/>
    <w:rsid w:val="009F5C5D"/>
    <w:rsid w:val="00A24713"/>
    <w:rsid w:val="00A26E02"/>
    <w:rsid w:val="00A763AF"/>
    <w:rsid w:val="00AA3DFD"/>
    <w:rsid w:val="00AB01EA"/>
    <w:rsid w:val="00AB3601"/>
    <w:rsid w:val="00AC59A2"/>
    <w:rsid w:val="00AC637E"/>
    <w:rsid w:val="00AD0180"/>
    <w:rsid w:val="00AE7C83"/>
    <w:rsid w:val="00AF7D3B"/>
    <w:rsid w:val="00B078E2"/>
    <w:rsid w:val="00B15769"/>
    <w:rsid w:val="00B860E7"/>
    <w:rsid w:val="00BA25C7"/>
    <w:rsid w:val="00BD36F7"/>
    <w:rsid w:val="00BD7A30"/>
    <w:rsid w:val="00BE3076"/>
    <w:rsid w:val="00C27E86"/>
    <w:rsid w:val="00C82BDE"/>
    <w:rsid w:val="00CA3314"/>
    <w:rsid w:val="00CB4B86"/>
    <w:rsid w:val="00CC02D6"/>
    <w:rsid w:val="00CC7327"/>
    <w:rsid w:val="00CF5239"/>
    <w:rsid w:val="00D11498"/>
    <w:rsid w:val="00D74B7C"/>
    <w:rsid w:val="00DD5062"/>
    <w:rsid w:val="00DE29BB"/>
    <w:rsid w:val="00E05E9E"/>
    <w:rsid w:val="00E82D5D"/>
    <w:rsid w:val="00E97D11"/>
    <w:rsid w:val="00EA367A"/>
    <w:rsid w:val="00EF29D3"/>
    <w:rsid w:val="00F1361F"/>
    <w:rsid w:val="00F21D3D"/>
    <w:rsid w:val="00F50061"/>
    <w:rsid w:val="00F64FFB"/>
    <w:rsid w:val="00F75FEA"/>
    <w:rsid w:val="00F83D92"/>
    <w:rsid w:val="00FF74A2"/>
    <w:rsid w:val="04EC6812"/>
    <w:rsid w:val="04F171DB"/>
    <w:rsid w:val="0C1300BA"/>
    <w:rsid w:val="0F062D7D"/>
    <w:rsid w:val="10B33F26"/>
    <w:rsid w:val="10E87141"/>
    <w:rsid w:val="11D529E3"/>
    <w:rsid w:val="17155CD8"/>
    <w:rsid w:val="17303DFB"/>
    <w:rsid w:val="208262A6"/>
    <w:rsid w:val="2E9539DE"/>
    <w:rsid w:val="2EFC765F"/>
    <w:rsid w:val="2F690913"/>
    <w:rsid w:val="32DA0AFB"/>
    <w:rsid w:val="34FE2375"/>
    <w:rsid w:val="359C4116"/>
    <w:rsid w:val="365668DF"/>
    <w:rsid w:val="3A227E9D"/>
    <w:rsid w:val="3EB218E1"/>
    <w:rsid w:val="40BD03D8"/>
    <w:rsid w:val="428B4E75"/>
    <w:rsid w:val="42D6189E"/>
    <w:rsid w:val="44C1083F"/>
    <w:rsid w:val="46625A9C"/>
    <w:rsid w:val="5364028B"/>
    <w:rsid w:val="5C6718E7"/>
    <w:rsid w:val="5D195C77"/>
    <w:rsid w:val="5E5E5DDC"/>
    <w:rsid w:val="62241ADD"/>
    <w:rsid w:val="67C52FC9"/>
    <w:rsid w:val="6AF93B69"/>
    <w:rsid w:val="6D316FBD"/>
    <w:rsid w:val="73FE1D6C"/>
    <w:rsid w:val="746005BD"/>
    <w:rsid w:val="748A4F88"/>
    <w:rsid w:val="76323B4E"/>
    <w:rsid w:val="7C49533A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link w:val="10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3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5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1410</Words>
  <Characters>1605</Characters>
  <Lines>11</Lines>
  <Paragraphs>3</Paragraphs>
  <TotalTime>20</TotalTime>
  <ScaleCrop>false</ScaleCrop>
  <LinksUpToDate>false</LinksUpToDate>
  <CharactersWithSpaces>1619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2026-04-28T08:16:00Z</dcterms:created>
  <dc:creator>lenovo</dc:creator>
  <cp:lastModifiedBy>王海鹏</cp:lastModifiedBy>
  <cp:lastPrinted>2022-08-29T09:18:00Z</cp:lastPrinted>
  <dcterms:modified xsi:type="dcterms:W3CDTF">2026-08-28T01:17:38Z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8CC07DCE2578430EA6FEAFCEB5319616_13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