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BA2214">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jc w:val="center"/>
        <w:textAlignment w:val="auto"/>
        <w:rPr>
          <w:rFonts w:hint="default" w:ascii="Times New Roman" w:hAnsi="Times New Roman" w:eastAsia="方正小标宋简体" w:cs="Times New Roman"/>
          <w:b/>
          <w:bCs/>
          <w:sz w:val="44"/>
          <w:szCs w:val="44"/>
          <w:lang w:val="en-US" w:eastAsia="zh-CN"/>
        </w:rPr>
      </w:pPr>
      <w:r>
        <w:rPr>
          <w:rFonts w:hint="default" w:ascii="Times New Roman" w:hAnsi="Times New Roman" w:eastAsia="方正小标宋简体" w:cs="Times New Roman"/>
          <w:b/>
          <w:bCs/>
          <w:sz w:val="44"/>
          <w:szCs w:val="44"/>
          <w:lang w:val="en-US" w:eastAsia="zh-CN"/>
        </w:rPr>
        <w:t>山东公用交通集团有限公司</w:t>
      </w:r>
    </w:p>
    <w:p w14:paraId="4437C0C2">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小标宋简体" w:cs="Times New Roman"/>
          <w:b/>
          <w:bCs/>
          <w:sz w:val="44"/>
          <w:szCs w:val="44"/>
        </w:rPr>
        <w:t>202</w:t>
      </w:r>
      <w:r>
        <w:rPr>
          <w:rFonts w:hint="eastAsia" w:ascii="Times New Roman" w:hAnsi="Times New Roman" w:eastAsia="方正小标宋简体" w:cs="Times New Roman"/>
          <w:b/>
          <w:bCs/>
          <w:sz w:val="44"/>
          <w:szCs w:val="44"/>
          <w:lang w:val="en-US" w:eastAsia="zh-CN"/>
        </w:rPr>
        <w:t>6</w:t>
      </w:r>
      <w:r>
        <w:rPr>
          <w:rFonts w:hint="default" w:ascii="Times New Roman" w:hAnsi="Times New Roman" w:eastAsia="方正小标宋简体" w:cs="Times New Roman"/>
          <w:b/>
          <w:bCs/>
          <w:sz w:val="44"/>
          <w:szCs w:val="44"/>
        </w:rPr>
        <w:t>年</w:t>
      </w:r>
      <w:r>
        <w:rPr>
          <w:rFonts w:hint="eastAsia" w:ascii="Times New Roman" w:hAnsi="Times New Roman" w:eastAsia="方正小标宋简体" w:cs="Times New Roman"/>
          <w:b/>
          <w:bCs/>
          <w:sz w:val="44"/>
          <w:szCs w:val="44"/>
          <w:lang w:val="en-US" w:eastAsia="zh-CN"/>
        </w:rPr>
        <w:t>中期</w:t>
      </w:r>
      <w:r>
        <w:rPr>
          <w:rFonts w:hint="default" w:ascii="Times New Roman" w:hAnsi="Times New Roman" w:eastAsia="方正小标宋简体" w:cs="Times New Roman"/>
          <w:b/>
          <w:bCs/>
          <w:sz w:val="44"/>
          <w:szCs w:val="44"/>
        </w:rPr>
        <w:t>财务</w:t>
      </w:r>
      <w:r>
        <w:rPr>
          <w:rFonts w:hint="eastAsia" w:ascii="Times New Roman" w:hAnsi="Times New Roman" w:eastAsia="方正小标宋简体" w:cs="Times New Roman"/>
          <w:b/>
          <w:bCs/>
          <w:sz w:val="44"/>
          <w:szCs w:val="44"/>
          <w:lang w:val="en-US" w:eastAsia="zh-CN"/>
        </w:rPr>
        <w:t>等</w:t>
      </w:r>
      <w:r>
        <w:rPr>
          <w:rFonts w:hint="default" w:ascii="Times New Roman" w:hAnsi="Times New Roman" w:eastAsia="方正小标宋简体" w:cs="Times New Roman"/>
          <w:b/>
          <w:bCs/>
          <w:sz w:val="44"/>
          <w:szCs w:val="44"/>
        </w:rPr>
        <w:t>重大信息公开</w:t>
      </w:r>
    </w:p>
    <w:p w14:paraId="534D0AEE">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p>
    <w:p w14:paraId="0B464303">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 xml:space="preserve">一、公司基本情况 </w:t>
      </w:r>
    </w:p>
    <w:p w14:paraId="2777BCD6">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1.公司名称：</w:t>
      </w:r>
      <w:r>
        <w:rPr>
          <w:rFonts w:hint="default" w:ascii="Times New Roman" w:hAnsi="Times New Roman" w:eastAsia="方正仿宋简体" w:cs="Times New Roman"/>
          <w:b/>
          <w:bCs/>
          <w:sz w:val="32"/>
          <w:szCs w:val="32"/>
          <w:lang w:val="en-US" w:eastAsia="zh-CN"/>
        </w:rPr>
        <w:t>山东公用交通集团有限公司</w:t>
      </w:r>
    </w:p>
    <w:p w14:paraId="184F110D">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2.法定代表人：</w:t>
      </w:r>
      <w:r>
        <w:rPr>
          <w:rFonts w:hint="eastAsia" w:ascii="Times New Roman" w:hAnsi="Times New Roman" w:eastAsia="方正仿宋简体" w:cs="Times New Roman"/>
          <w:b/>
          <w:bCs/>
          <w:sz w:val="32"/>
          <w:szCs w:val="32"/>
          <w:lang w:val="en-US" w:eastAsia="zh-CN"/>
        </w:rPr>
        <w:t>边伟</w:t>
      </w:r>
    </w:p>
    <w:p w14:paraId="7809217E">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0"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3.注册地址：</w:t>
      </w:r>
      <w:r>
        <w:rPr>
          <w:rFonts w:hint="default" w:ascii="Times New Roman" w:hAnsi="Times New Roman" w:eastAsia="方正仿宋简体" w:cs="Times New Roman"/>
          <w:b/>
          <w:bCs/>
          <w:kern w:val="2"/>
          <w:sz w:val="32"/>
          <w:szCs w:val="32"/>
          <w:lang w:val="en-US" w:eastAsia="zh-CN" w:bidi="ar-SA"/>
        </w:rPr>
        <w:t>山东省济宁市北湖省级旅游度假区荷花路京投总部大厦1201室</w:t>
      </w:r>
    </w:p>
    <w:p w14:paraId="54713072">
      <w:pPr>
        <w:pStyle w:val="3"/>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left="0" w:leftChars="0" w:firstLine="643" w:firstLineChars="200"/>
        <w:jc w:val="both"/>
        <w:textAlignment w:val="auto"/>
        <w:rPr>
          <w:rFonts w:hint="default" w:ascii="Times New Roman" w:hAnsi="Times New Roman" w:eastAsia="方正仿宋简体" w:cs="Times New Roman"/>
          <w:b/>
          <w:bCs/>
          <w:sz w:val="32"/>
          <w:szCs w:val="32"/>
          <w:lang w:eastAsia="zh-CN"/>
        </w:rPr>
      </w:pPr>
      <w:r>
        <w:rPr>
          <w:rFonts w:hint="default" w:ascii="Times New Roman" w:hAnsi="Times New Roman" w:eastAsia="方正仿宋简体" w:cs="Times New Roman"/>
          <w:b/>
          <w:bCs/>
          <w:sz w:val="32"/>
          <w:szCs w:val="32"/>
        </w:rPr>
        <w:t>4.经营范围：</w:t>
      </w:r>
      <w:r>
        <w:rPr>
          <w:rFonts w:hint="default" w:ascii="Times New Roman" w:hAnsi="Times New Roman" w:eastAsia="方正仿宋简体" w:cs="Times New Roman"/>
          <w:b/>
          <w:bCs/>
          <w:lang w:val="en-US" w:eastAsia="zh-CN"/>
        </w:rPr>
        <w:t xml:space="preserve"> </w:t>
      </w:r>
      <w:r>
        <w:rPr>
          <w:rFonts w:hint="default" w:ascii="Times New Roman" w:hAnsi="Times New Roman" w:eastAsia="方正仿宋简体" w:cs="Times New Roman"/>
          <w:b/>
          <w:bCs/>
          <w:kern w:val="2"/>
          <w:sz w:val="32"/>
          <w:szCs w:val="32"/>
          <w:lang w:val="en-US" w:eastAsia="zh-CN" w:bidi="ar-SA"/>
        </w:rPr>
        <w:t>许可项目：建设工程设计；建设工程施工；建筑劳务分包；施工专业作业；公路管理与养护；路基路面养护作业。（依法须经批准的项目，经相关部门批准后方可开展经营活动，具体经营项目以相关部门批准文件或许可证件为准）一般项目：园林绿化工程施工；城市绿化管理；建筑材料销售；砼结构构件销售。（除依法须经批准的项目外，凭营业执照依法自主开展经营活动）</w:t>
      </w:r>
    </w:p>
    <w:p w14:paraId="746E72D2">
      <w:pPr>
        <w:keepNext w:val="0"/>
        <w:keepLines w:val="0"/>
        <w:pageBreakBefore w:val="0"/>
        <w:widowControl w:val="0"/>
        <w:kinsoku/>
        <w:wordWrap/>
        <w:overflowPunct/>
        <w:topLinePunct w:val="0"/>
        <w:bidi w:val="0"/>
        <w:adjustRightInd/>
        <w:spacing w:line="600" w:lineRule="exact"/>
        <w:ind w:firstLine="643" w:firstLineChars="200"/>
        <w:textAlignment w:val="auto"/>
        <w:rPr>
          <w:rFonts w:hint="eastAsia" w:eastAsiaTheme="minorEastAsia"/>
          <w:lang w:eastAsia="zh-CN"/>
        </w:rPr>
      </w:pPr>
      <w:r>
        <w:rPr>
          <w:rFonts w:hint="default" w:ascii="Times New Roman" w:hAnsi="Times New Roman" w:eastAsia="方正仿宋简体" w:cs="Times New Roman"/>
          <w:b/>
          <w:bCs/>
          <w:sz w:val="32"/>
          <w:szCs w:val="32"/>
        </w:rPr>
        <w:t>5.公司简介:</w:t>
      </w:r>
      <w:r>
        <w:rPr>
          <w:rFonts w:hint="eastAsia" w:ascii="Times New Roman" w:hAnsi="Times New Roman" w:eastAsia="方正仿宋简体" w:cs="Times New Roman"/>
          <w:b/>
          <w:bCs/>
          <w:sz w:val="32"/>
          <w:szCs w:val="32"/>
          <w:lang w:val="en-US" w:eastAsia="zh-CN"/>
        </w:rPr>
        <w:t>山东公用交通集团有限公司成立于2020年，注册资本10000万元，为山东公用控股有限公司全资子公司，业务是统筹管理山东公用控股有限公司及权属大型基础设施项目的投融资、建设、运营、智慧交通及相关产业开发；以山东公用鹏程路桥集团为主体，承担各等级公路施工。近年响应山东公用控股有限公司“民生产业+基础设施建设”双轮驱动发展战略，承建我市内环高架、共青团路北延、济邹高速、兖郓高速等省、市重点基础设施项目，为我市新旧动能转换及立体化交通发展提供保障。</w:t>
      </w:r>
    </w:p>
    <w:p w14:paraId="54629271">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eastAsia" w:ascii="Times New Roman" w:hAnsi="Times New Roman" w:eastAsia="方正黑体简体" w:cs="Times New Roman"/>
          <w:b w:val="0"/>
          <w:bCs w:val="0"/>
          <w:sz w:val="28"/>
          <w:szCs w:val="28"/>
          <w:lang w:val="en-US" w:eastAsia="zh-CN"/>
        </w:rPr>
      </w:pPr>
      <w:r>
        <w:rPr>
          <w:rFonts w:hint="eastAsia" w:ascii="Times New Roman" w:hAnsi="Times New Roman" w:eastAsia="方正黑体简体" w:cs="Times New Roman"/>
          <w:b/>
          <w:bCs/>
          <w:sz w:val="32"/>
          <w:szCs w:val="32"/>
        </w:rPr>
        <w:t>二、主要会计数据和财务指标</w:t>
      </w:r>
      <w:r>
        <w:rPr>
          <w:rFonts w:hint="eastAsia" w:ascii="Times New Roman" w:hAnsi="Times New Roman" w:eastAsia="方正黑体简体" w:cs="Times New Roman"/>
          <w:b w:val="0"/>
          <w:bCs w:val="0"/>
          <w:sz w:val="28"/>
          <w:szCs w:val="28"/>
          <w:lang w:val="en-US" w:eastAsia="zh-CN"/>
        </w:rPr>
        <w:t>（截至到2026年6月30日）</w:t>
      </w:r>
    </w:p>
    <w:p w14:paraId="08F894C3">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jc w:val="center"/>
        <w:textAlignment w:val="auto"/>
        <w:rPr>
          <w:rFonts w:hint="eastAsia" w:ascii="Times New Roman" w:hAnsi="Times New Roman" w:eastAsia="方正黑体简体" w:cs="Times New Roman"/>
          <w:b w:val="0"/>
          <w:bCs w:val="0"/>
          <w:sz w:val="32"/>
          <w:szCs w:val="32"/>
          <w:lang w:val="en-US" w:eastAsia="zh-CN"/>
        </w:rPr>
      </w:pPr>
      <w:r>
        <w:rPr>
          <w:rFonts w:hint="default" w:ascii="Times New Roman" w:hAnsi="Times New Roman" w:eastAsia="方正黑体简体" w:cs="Times New Roman"/>
          <w:b w:val="0"/>
          <w:bCs w:val="0"/>
          <w:sz w:val="32"/>
          <w:szCs w:val="32"/>
          <w:lang w:val="en-US" w:eastAsia="zh-CN"/>
        </w:rPr>
        <w:t>2026年</w:t>
      </w:r>
      <w:r>
        <w:rPr>
          <w:rFonts w:hint="eastAsia" w:ascii="Times New Roman" w:hAnsi="Times New Roman" w:eastAsia="方正黑体简体" w:cs="Times New Roman"/>
          <w:b w:val="0"/>
          <w:bCs w:val="0"/>
          <w:sz w:val="32"/>
          <w:szCs w:val="32"/>
          <w:lang w:val="en-US" w:eastAsia="zh-CN"/>
        </w:rPr>
        <w:t>中期主要财务数据</w:t>
      </w:r>
    </w:p>
    <w:p w14:paraId="37ED1649">
      <w:pPr>
        <w:keepNext w:val="0"/>
        <w:keepLines w:val="0"/>
        <w:pageBreakBefore w:val="0"/>
        <w:widowControl w:val="0"/>
        <w:kinsoku/>
        <w:wordWrap/>
        <w:overflowPunct/>
        <w:topLinePunct w:val="0"/>
        <w:autoSpaceDE/>
        <w:autoSpaceDN/>
        <w:bidi w:val="0"/>
        <w:adjustRightInd/>
        <w:spacing w:line="600" w:lineRule="exact"/>
        <w:ind w:firstLine="7040" w:firstLineChars="2200"/>
        <w:textAlignment w:val="auto"/>
        <w:rPr>
          <w:rFonts w:hint="default" w:ascii="Times New Roman" w:hAnsi="Times New Roman" w:eastAsia="方正黑体简体" w:cs="Times New Roman"/>
          <w:sz w:val="32"/>
          <w:szCs w:val="32"/>
        </w:rPr>
      </w:pPr>
      <w:r>
        <w:rPr>
          <w:rFonts w:hint="default" w:ascii="Times New Roman" w:hAnsi="Times New Roman" w:eastAsia="方正黑体简体" w:cs="Times New Roman"/>
          <w:sz w:val="32"/>
          <w:szCs w:val="32"/>
        </w:rPr>
        <w:t>单位：万元</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4"/>
        <w:gridCol w:w="4819"/>
      </w:tblGrid>
      <w:tr w14:paraId="411FC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shd w:val="clear" w:color="auto" w:fill="auto"/>
            <w:vAlign w:val="top"/>
          </w:tcPr>
          <w:p w14:paraId="494C817D">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项  目</w:t>
            </w:r>
          </w:p>
        </w:tc>
        <w:tc>
          <w:tcPr>
            <w:tcW w:w="4819" w:type="dxa"/>
            <w:shd w:val="clear" w:color="auto" w:fill="auto"/>
            <w:vAlign w:val="center"/>
          </w:tcPr>
          <w:p w14:paraId="56837FD7">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金  额</w:t>
            </w:r>
          </w:p>
        </w:tc>
      </w:tr>
      <w:tr w14:paraId="6EF3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8CDA5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营业总收入</w:t>
            </w:r>
          </w:p>
        </w:tc>
        <w:tc>
          <w:tcPr>
            <w:tcW w:w="4819" w:type="dxa"/>
            <w:vAlign w:val="center"/>
          </w:tcPr>
          <w:p w14:paraId="5E2649A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128015</w:t>
            </w:r>
          </w:p>
        </w:tc>
      </w:tr>
      <w:tr w14:paraId="3687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67E910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营业总成本</w:t>
            </w:r>
          </w:p>
        </w:tc>
        <w:tc>
          <w:tcPr>
            <w:tcW w:w="4819" w:type="dxa"/>
            <w:vAlign w:val="center"/>
          </w:tcPr>
          <w:p w14:paraId="60A4327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124527</w:t>
            </w:r>
          </w:p>
        </w:tc>
      </w:tr>
      <w:tr w14:paraId="16EE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734EFB74">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利润总额</w:t>
            </w:r>
          </w:p>
        </w:tc>
        <w:tc>
          <w:tcPr>
            <w:tcW w:w="4819" w:type="dxa"/>
            <w:vAlign w:val="center"/>
          </w:tcPr>
          <w:p w14:paraId="2D612CE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3105</w:t>
            </w:r>
          </w:p>
        </w:tc>
      </w:tr>
      <w:tr w14:paraId="5184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221D3B1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净利润</w:t>
            </w:r>
          </w:p>
        </w:tc>
        <w:tc>
          <w:tcPr>
            <w:tcW w:w="4819" w:type="dxa"/>
            <w:vAlign w:val="center"/>
          </w:tcPr>
          <w:p w14:paraId="12DFC477">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2308</w:t>
            </w:r>
          </w:p>
        </w:tc>
      </w:tr>
      <w:tr w14:paraId="4E2C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3A47F7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资产总额</w:t>
            </w:r>
          </w:p>
        </w:tc>
        <w:tc>
          <w:tcPr>
            <w:tcW w:w="4819" w:type="dxa"/>
            <w:vAlign w:val="center"/>
          </w:tcPr>
          <w:p w14:paraId="62D98D0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571140</w:t>
            </w:r>
          </w:p>
        </w:tc>
      </w:tr>
      <w:tr w14:paraId="27C2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AC7417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负债总额</w:t>
            </w:r>
          </w:p>
        </w:tc>
        <w:tc>
          <w:tcPr>
            <w:tcW w:w="4819" w:type="dxa"/>
            <w:vAlign w:val="center"/>
          </w:tcPr>
          <w:p w14:paraId="0A854D5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471363</w:t>
            </w:r>
          </w:p>
        </w:tc>
      </w:tr>
      <w:tr w14:paraId="2DD7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34773FD6">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所有者权益</w:t>
            </w:r>
          </w:p>
        </w:tc>
        <w:tc>
          <w:tcPr>
            <w:tcW w:w="4819" w:type="dxa"/>
            <w:vAlign w:val="center"/>
          </w:tcPr>
          <w:p w14:paraId="48BD7381">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99777</w:t>
            </w:r>
          </w:p>
        </w:tc>
      </w:tr>
    </w:tbl>
    <w:p w14:paraId="3C1B445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lang w:val="en-US" w:eastAsia="zh-CN"/>
        </w:rPr>
      </w:pPr>
      <w:r>
        <w:rPr>
          <w:rFonts w:hint="default" w:ascii="Times New Roman" w:hAnsi="Times New Roman" w:eastAsia="方正黑体简体" w:cs="Times New Roman"/>
          <w:b/>
          <w:bCs/>
          <w:sz w:val="32"/>
          <w:szCs w:val="32"/>
        </w:rPr>
        <w:t>三、</w:t>
      </w:r>
      <w:r>
        <w:rPr>
          <w:rFonts w:hint="eastAsia" w:ascii="Times New Roman" w:hAnsi="Times New Roman" w:eastAsia="方正黑体简体" w:cs="Times New Roman"/>
          <w:b/>
          <w:bCs/>
          <w:sz w:val="32"/>
          <w:szCs w:val="32"/>
          <w:lang w:val="en-US" w:eastAsia="zh-CN"/>
        </w:rPr>
        <w:t>2026年中期</w:t>
      </w:r>
      <w:r>
        <w:rPr>
          <w:rFonts w:hint="default" w:ascii="Times New Roman" w:hAnsi="Times New Roman" w:eastAsia="方正黑体简体" w:cs="Times New Roman"/>
          <w:b/>
          <w:bCs/>
          <w:sz w:val="32"/>
          <w:szCs w:val="32"/>
        </w:rPr>
        <w:t>财务预算</w:t>
      </w:r>
      <w:r>
        <w:rPr>
          <w:rFonts w:hint="default" w:ascii="Times New Roman" w:hAnsi="Times New Roman" w:eastAsia="方正黑体简体" w:cs="Times New Roman"/>
          <w:b/>
          <w:bCs/>
          <w:sz w:val="32"/>
          <w:szCs w:val="32"/>
          <w:lang w:val="en-US" w:eastAsia="zh-CN"/>
        </w:rPr>
        <w:t>执行情况</w:t>
      </w:r>
    </w:p>
    <w:p w14:paraId="44034023">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202</w:t>
      </w:r>
      <w:r>
        <w:rPr>
          <w:rFonts w:hint="eastAsia" w:ascii="Times New Roman" w:hAnsi="Times New Roman" w:eastAsia="方正仿宋简体" w:cs="Times New Roman"/>
          <w:b/>
          <w:bCs/>
          <w:sz w:val="32"/>
          <w:szCs w:val="32"/>
          <w:lang w:val="en-US" w:eastAsia="zh-CN"/>
        </w:rPr>
        <w:t>6</w:t>
      </w:r>
      <w:r>
        <w:rPr>
          <w:rFonts w:hint="default" w:ascii="Times New Roman" w:hAnsi="Times New Roman" w:eastAsia="方正仿宋简体" w:cs="Times New Roman"/>
          <w:b/>
          <w:bCs/>
          <w:sz w:val="32"/>
          <w:szCs w:val="32"/>
          <w:lang w:val="en-US" w:eastAsia="zh-CN"/>
        </w:rPr>
        <w:t>年1-</w:t>
      </w:r>
      <w:r>
        <w:rPr>
          <w:rFonts w:hint="eastAsia" w:ascii="Times New Roman" w:hAnsi="Times New Roman" w:eastAsia="方正仿宋简体" w:cs="Times New Roman"/>
          <w:b/>
          <w:bCs/>
          <w:sz w:val="32"/>
          <w:szCs w:val="32"/>
          <w:lang w:val="en-US" w:eastAsia="zh-CN"/>
        </w:rPr>
        <w:t>6</w:t>
      </w:r>
      <w:r>
        <w:rPr>
          <w:rFonts w:hint="default" w:ascii="Times New Roman" w:hAnsi="Times New Roman" w:eastAsia="方正仿宋简体" w:cs="Times New Roman"/>
          <w:b/>
          <w:bCs/>
          <w:sz w:val="32"/>
          <w:szCs w:val="32"/>
          <w:lang w:val="en-US" w:eastAsia="zh-CN"/>
        </w:rPr>
        <w:t>月累计实现营业收入</w:t>
      </w:r>
      <w:r>
        <w:rPr>
          <w:rFonts w:hint="default" w:ascii="Times New Roman" w:hAnsi="Times New Roman" w:eastAsia="方正仿宋简体" w:cs="Times New Roman"/>
          <w:b/>
          <w:bCs/>
          <w:sz w:val="32"/>
          <w:szCs w:val="32"/>
        </w:rPr>
        <w:t>128,015</w:t>
      </w:r>
      <w:r>
        <w:rPr>
          <w:rFonts w:hint="default" w:ascii="Times New Roman" w:hAnsi="Times New Roman" w:eastAsia="方正仿宋简体" w:cs="Times New Roman"/>
          <w:b/>
          <w:bCs/>
          <w:sz w:val="32"/>
          <w:szCs w:val="32"/>
          <w:lang w:val="en-US" w:eastAsia="zh-CN"/>
        </w:rPr>
        <w:t>万元，完成全年预算</w:t>
      </w:r>
      <w:r>
        <w:rPr>
          <w:rFonts w:hint="eastAsia" w:ascii="Times New Roman" w:hAnsi="Times New Roman" w:eastAsia="方正仿宋简体" w:cs="Times New Roman"/>
          <w:b/>
          <w:bCs/>
          <w:sz w:val="32"/>
          <w:szCs w:val="32"/>
          <w:lang w:val="en-US" w:eastAsia="zh-CN"/>
        </w:rPr>
        <w:t>320,000</w:t>
      </w:r>
      <w:r>
        <w:rPr>
          <w:rFonts w:hint="default" w:ascii="Times New Roman" w:hAnsi="Times New Roman" w:eastAsia="方正仿宋简体" w:cs="Times New Roman"/>
          <w:b/>
          <w:bCs/>
          <w:sz w:val="32"/>
          <w:szCs w:val="32"/>
          <w:lang w:val="en-US" w:eastAsia="zh-CN"/>
        </w:rPr>
        <w:t>万元的</w:t>
      </w:r>
      <w:r>
        <w:rPr>
          <w:rFonts w:hint="eastAsia" w:ascii="Times New Roman" w:hAnsi="Times New Roman" w:eastAsia="方正仿宋简体" w:cs="Times New Roman"/>
          <w:b/>
          <w:bCs/>
          <w:sz w:val="32"/>
          <w:szCs w:val="32"/>
          <w:lang w:val="en-US" w:eastAsia="zh-CN"/>
        </w:rPr>
        <w:t>40</w:t>
      </w:r>
      <w:r>
        <w:rPr>
          <w:rFonts w:hint="default" w:ascii="Times New Roman" w:hAnsi="Times New Roman" w:eastAsia="方正仿宋简体" w:cs="Times New Roman"/>
          <w:b/>
          <w:bCs/>
          <w:sz w:val="32"/>
          <w:szCs w:val="32"/>
          <w:lang w:val="en-US" w:eastAsia="zh-CN"/>
        </w:rPr>
        <w:t>%；成本费用总额</w:t>
      </w:r>
      <w:r>
        <w:rPr>
          <w:rFonts w:hint="default" w:ascii="Times New Roman" w:hAnsi="Times New Roman" w:eastAsia="方正仿宋简体" w:cs="Times New Roman"/>
          <w:b/>
          <w:bCs/>
          <w:sz w:val="32"/>
          <w:szCs w:val="32"/>
        </w:rPr>
        <w:t>124,527</w:t>
      </w:r>
      <w:r>
        <w:rPr>
          <w:rFonts w:hint="default" w:ascii="Times New Roman" w:hAnsi="Times New Roman" w:eastAsia="方正仿宋简体" w:cs="Times New Roman"/>
          <w:b/>
          <w:bCs/>
          <w:sz w:val="32"/>
          <w:szCs w:val="32"/>
          <w:lang w:val="en-US" w:eastAsia="zh-CN"/>
        </w:rPr>
        <w:t>万元，完成全年预算301,948万元的</w:t>
      </w:r>
      <w:r>
        <w:rPr>
          <w:rFonts w:hint="eastAsia" w:ascii="Times New Roman" w:hAnsi="Times New Roman" w:eastAsia="方正仿宋简体" w:cs="Times New Roman"/>
          <w:b/>
          <w:bCs/>
          <w:sz w:val="32"/>
          <w:szCs w:val="32"/>
          <w:lang w:val="en-US" w:eastAsia="zh-CN"/>
        </w:rPr>
        <w:t>41.24</w:t>
      </w:r>
      <w:r>
        <w:rPr>
          <w:rFonts w:hint="default" w:ascii="Times New Roman" w:hAnsi="Times New Roman" w:eastAsia="方正仿宋简体" w:cs="Times New Roman"/>
          <w:b/>
          <w:bCs/>
          <w:sz w:val="32"/>
          <w:szCs w:val="32"/>
          <w:lang w:val="en-US" w:eastAsia="zh-CN"/>
        </w:rPr>
        <w:t>%；累计实现利润总额</w:t>
      </w:r>
      <w:r>
        <w:rPr>
          <w:rFonts w:hint="default" w:ascii="Times New Roman" w:hAnsi="Times New Roman" w:eastAsia="方正仿宋简体" w:cs="Times New Roman"/>
          <w:b/>
          <w:bCs/>
          <w:sz w:val="32"/>
          <w:szCs w:val="32"/>
        </w:rPr>
        <w:t>3,105</w:t>
      </w:r>
      <w:r>
        <w:rPr>
          <w:rFonts w:hint="default" w:ascii="Times New Roman" w:hAnsi="Times New Roman" w:eastAsia="方正仿宋简体" w:cs="Times New Roman"/>
          <w:b/>
          <w:bCs/>
          <w:sz w:val="32"/>
          <w:szCs w:val="32"/>
          <w:lang w:val="en-US" w:eastAsia="zh-CN"/>
        </w:rPr>
        <w:t>万元，完成全年预算18,052</w:t>
      </w:r>
      <w:r>
        <w:rPr>
          <w:rFonts w:hint="eastAsia" w:ascii="Times New Roman" w:hAnsi="Times New Roman" w:eastAsia="方正仿宋简体" w:cs="Times New Roman"/>
          <w:b/>
          <w:bCs/>
          <w:sz w:val="32"/>
          <w:szCs w:val="32"/>
          <w:lang w:val="en-US" w:eastAsia="zh-CN"/>
        </w:rPr>
        <w:t>.00</w:t>
      </w:r>
      <w:r>
        <w:rPr>
          <w:rFonts w:hint="default" w:ascii="Times New Roman" w:hAnsi="Times New Roman" w:eastAsia="方正仿宋简体" w:cs="Times New Roman"/>
          <w:b/>
          <w:bCs/>
          <w:sz w:val="32"/>
          <w:szCs w:val="32"/>
          <w:lang w:val="en-US" w:eastAsia="zh-CN"/>
        </w:rPr>
        <w:t>万元的</w:t>
      </w:r>
      <w:r>
        <w:rPr>
          <w:rFonts w:hint="eastAsia" w:ascii="Times New Roman" w:hAnsi="Times New Roman" w:eastAsia="方正仿宋简体" w:cs="Times New Roman"/>
          <w:b/>
          <w:bCs/>
          <w:sz w:val="32"/>
          <w:szCs w:val="32"/>
          <w:lang w:val="en-US" w:eastAsia="zh-CN"/>
        </w:rPr>
        <w:t>17.20</w:t>
      </w:r>
      <w:r>
        <w:rPr>
          <w:rFonts w:hint="default" w:ascii="Times New Roman" w:hAnsi="Times New Roman" w:eastAsia="方正仿宋简体" w:cs="Times New Roman"/>
          <w:b/>
          <w:bCs/>
          <w:sz w:val="32"/>
          <w:szCs w:val="32"/>
          <w:lang w:val="en-US" w:eastAsia="zh-CN"/>
        </w:rPr>
        <w:t>% 。</w:t>
      </w:r>
    </w:p>
    <w:p w14:paraId="6FE6157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lang w:val="en-US" w:eastAsia="zh-CN"/>
        </w:rPr>
      </w:pPr>
      <w:r>
        <w:rPr>
          <w:rFonts w:hint="eastAsia" w:ascii="Times New Roman" w:hAnsi="Times New Roman" w:eastAsia="方正黑体简体" w:cs="Times New Roman"/>
          <w:b/>
          <w:bCs/>
          <w:sz w:val="32"/>
          <w:szCs w:val="32"/>
          <w:lang w:val="en-US" w:eastAsia="zh-CN"/>
        </w:rPr>
        <w:t>四、中期</w:t>
      </w:r>
      <w:r>
        <w:rPr>
          <w:rFonts w:hint="default" w:ascii="Times New Roman" w:hAnsi="Times New Roman" w:eastAsia="方正黑体简体" w:cs="Times New Roman"/>
          <w:b/>
          <w:bCs/>
          <w:sz w:val="32"/>
          <w:szCs w:val="32"/>
        </w:rPr>
        <w:t>内重大事项及对企业的影响</w:t>
      </w:r>
    </w:p>
    <w:p w14:paraId="62E7DD6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default"/>
          <w:lang w:val="en-US" w:eastAsia="zh-CN"/>
        </w:rPr>
      </w:pPr>
      <w:r>
        <w:rPr>
          <w:rFonts w:hint="eastAsia" w:ascii="Times New Roman" w:hAnsi="Times New Roman" w:eastAsia="方正仿宋简体" w:cs="Times New Roman"/>
          <w:b/>
          <w:bCs w:val="0"/>
          <w:color w:val="auto"/>
          <w:sz w:val="32"/>
          <w:szCs w:val="32"/>
          <w:lang w:val="en-US" w:eastAsia="zh-CN"/>
        </w:rPr>
        <w:t>无。</w:t>
      </w:r>
      <w:bookmarkStart w:id="0" w:name="_GoBack"/>
      <w:bookmarkEnd w:id="0"/>
    </w:p>
    <w:sectPr>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lZWY1MTZiMTkyZjJiYmE4ZmY2NmQ4YzIyODA0ODMifQ=="/>
  </w:docVars>
  <w:rsids>
    <w:rsidRoot w:val="13CC2444"/>
    <w:rsid w:val="001410B8"/>
    <w:rsid w:val="00332EF0"/>
    <w:rsid w:val="003F77BE"/>
    <w:rsid w:val="007E3428"/>
    <w:rsid w:val="007E5379"/>
    <w:rsid w:val="00AC6AB4"/>
    <w:rsid w:val="00BC3130"/>
    <w:rsid w:val="00C455E3"/>
    <w:rsid w:val="00C65B77"/>
    <w:rsid w:val="00D321DA"/>
    <w:rsid w:val="00EA422D"/>
    <w:rsid w:val="00FC157F"/>
    <w:rsid w:val="03486E9D"/>
    <w:rsid w:val="04F419D9"/>
    <w:rsid w:val="06DF3B7E"/>
    <w:rsid w:val="074D3623"/>
    <w:rsid w:val="09EC724C"/>
    <w:rsid w:val="0D052EAD"/>
    <w:rsid w:val="0D6D5D2C"/>
    <w:rsid w:val="103E05DD"/>
    <w:rsid w:val="13CC2444"/>
    <w:rsid w:val="15D840D8"/>
    <w:rsid w:val="17852965"/>
    <w:rsid w:val="180477A4"/>
    <w:rsid w:val="19560A59"/>
    <w:rsid w:val="1C496371"/>
    <w:rsid w:val="21EA12B6"/>
    <w:rsid w:val="29176F9F"/>
    <w:rsid w:val="29D47C5C"/>
    <w:rsid w:val="2A4822AF"/>
    <w:rsid w:val="2D9F5C7A"/>
    <w:rsid w:val="33A670F3"/>
    <w:rsid w:val="34EF6A49"/>
    <w:rsid w:val="35D9381B"/>
    <w:rsid w:val="35FA4023"/>
    <w:rsid w:val="373830F8"/>
    <w:rsid w:val="3CA55285"/>
    <w:rsid w:val="3F6A64F8"/>
    <w:rsid w:val="40E1715D"/>
    <w:rsid w:val="419C0824"/>
    <w:rsid w:val="425761C4"/>
    <w:rsid w:val="44244964"/>
    <w:rsid w:val="4B0E7E35"/>
    <w:rsid w:val="4D16313C"/>
    <w:rsid w:val="4ED12EF4"/>
    <w:rsid w:val="50DE6667"/>
    <w:rsid w:val="57404164"/>
    <w:rsid w:val="59EC48C6"/>
    <w:rsid w:val="5AB70DF0"/>
    <w:rsid w:val="5C83014D"/>
    <w:rsid w:val="5D75511C"/>
    <w:rsid w:val="5E145AF2"/>
    <w:rsid w:val="5F372BCB"/>
    <w:rsid w:val="5F412942"/>
    <w:rsid w:val="60785E58"/>
    <w:rsid w:val="678437B5"/>
    <w:rsid w:val="6CF238C8"/>
    <w:rsid w:val="6FF81D03"/>
    <w:rsid w:val="70C1078D"/>
    <w:rsid w:val="72D94FAB"/>
    <w:rsid w:val="7451111C"/>
    <w:rsid w:val="75D26FF0"/>
    <w:rsid w:val="775A30EF"/>
    <w:rsid w:val="79694D0B"/>
    <w:rsid w:val="7D4669DA"/>
    <w:rsid w:val="7FC25A17"/>
    <w:rsid w:val="7FC82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keepLines/>
      <w:pageBreakBefore/>
      <w:spacing w:before="240" w:after="120"/>
      <w:jc w:val="center"/>
      <w:outlineLvl w:val="0"/>
    </w:pPr>
    <w:rPr>
      <w:rFonts w:eastAsia="黑体"/>
      <w:b/>
      <w:sz w:val="36"/>
    </w:rPr>
  </w:style>
  <w:style w:type="paragraph" w:styleId="3">
    <w:name w:val="Body Text"/>
    <w:basedOn w:val="1"/>
    <w:qFormat/>
    <w:uiPriority w:val="0"/>
  </w:style>
  <w:style w:type="paragraph" w:styleId="4">
    <w:name w:val="Body Text Indent"/>
    <w:basedOn w:val="1"/>
    <w:unhideWhenUsed/>
    <w:qFormat/>
    <w:uiPriority w:val="99"/>
    <w:pPr>
      <w:ind w:left="420" w:leftChars="200"/>
    </w:p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First Indent"/>
    <w:basedOn w:val="3"/>
    <w:qFormat/>
    <w:uiPriority w:val="0"/>
    <w:pPr>
      <w:ind w:firstLine="420" w:firstLineChars="100"/>
    </w:pPr>
  </w:style>
  <w:style w:type="paragraph" w:styleId="8">
    <w:name w:val="Body Text First Indent 2"/>
    <w:basedOn w:val="4"/>
    <w:next w:val="7"/>
    <w:qFormat/>
    <w:uiPriority w:val="99"/>
    <w:pPr>
      <w:ind w:firstLine="420" w:firstLine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6"/>
    <w:qFormat/>
    <w:uiPriority w:val="0"/>
    <w:rPr>
      <w:kern w:val="2"/>
      <w:sz w:val="18"/>
      <w:szCs w:val="18"/>
    </w:rPr>
  </w:style>
  <w:style w:type="character" w:customStyle="1" w:styleId="13">
    <w:name w:val="页脚 字符"/>
    <w:basedOn w:val="11"/>
    <w:link w:val="5"/>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670</Words>
  <Characters>781</Characters>
  <Lines>5</Lines>
  <Paragraphs>1</Paragraphs>
  <TotalTime>0</TotalTime>
  <ScaleCrop>false</ScaleCrop>
  <LinksUpToDate>false</LinksUpToDate>
  <CharactersWithSpaces>788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2022-06-30T02:09:00Z</dcterms:created>
  <dc:creator>Mr.X</dc:creator>
  <cp:lastModifiedBy>王海鹏</cp:lastModifiedBy>
  <dcterms:modified xsi:type="dcterms:W3CDTF">2026-08-28T00:50:33Z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EA74C1FF97974B4C9BCB2A66CAC65296</vt:lpwstr>
  </property>
  <property fmtid="{D5CDD505-2E9C-101B-9397-08002B2CF9AE}" pid="4" name="KSOTemplateDocerSaveRecord">
    <vt:lpwstr>eyJoZGlkIjoiYzgzZDE3YjdjMWRhMTJhYmNhNjIwMDE0ZjRiMDc0YWEiLCJ1c2VySWQiOiIzNDI0Nzc0MDgifQ==</vt:lpwstr>
  </property>
</Properties>
</file>