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D5FD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Times New Roman" w:hAnsi="Times New Roman" w:eastAsia="方正小标宋简体" w:cs="Times New Roman"/>
          <w:b/>
          <w:bCs/>
          <w:sz w:val="44"/>
          <w:szCs w:val="44"/>
          <w:lang w:val="en-US" w:eastAsia="zh-CN"/>
        </w:rPr>
      </w:pPr>
      <w:r>
        <w:rPr>
          <w:rFonts w:hint="eastAsia" w:ascii="Times New Roman" w:hAnsi="Times New Roman" w:eastAsia="方正小标宋简体" w:cs="Times New Roman"/>
          <w:b/>
          <w:bCs/>
          <w:sz w:val="44"/>
          <w:szCs w:val="44"/>
          <w:lang w:val="en-US" w:eastAsia="zh-CN"/>
        </w:rPr>
        <w:t>济宁市中正工程监理有限责任公司</w:t>
      </w:r>
    </w:p>
    <w:p w14:paraId="4437C0C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eastAsia"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eastAsia"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eastAsia"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690C586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540139D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1.公司名称：济宁市中正工程监理有限责任公司</w:t>
      </w:r>
    </w:p>
    <w:p w14:paraId="184F110D">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eastAsia" w:ascii="Times New Roman" w:hAnsi="Times New Roman" w:eastAsia="方正仿宋简体" w:cs="Times New Roman"/>
          <w:b/>
          <w:bCs/>
          <w:sz w:val="32"/>
          <w:szCs w:val="32"/>
          <w:lang w:val="en-US" w:eastAsia="zh-CN"/>
        </w:rPr>
        <w:t>王汉捷</w:t>
      </w:r>
    </w:p>
    <w:p w14:paraId="267B1CC0">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 xml:space="preserve">3.注册地址：山东省济宁市任城区仙营街道共青团路14号健身广场综合楼12楼1202号  </w:t>
      </w:r>
      <w:bookmarkStart w:id="0" w:name="_GoBack"/>
      <w:bookmarkEnd w:id="0"/>
    </w:p>
    <w:p w14:paraId="5ED98888">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4.经营范围：许可项目：建设工程监理；水利工程建设监理。（依法须经批准的项目，经相关部门批准后方可开展经营活动，具体经营项目以相关部门批准文件或许可证件为准）。一般项目：工程技术服务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规划管理，勘察、设计、监理除外</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；工程造价咨询业务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招投标代理服务。（除依法须经批准的项目外，凭营业执照依法自主开展经营活动）。</w:t>
      </w:r>
    </w:p>
    <w:p w14:paraId="3401613B">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5.公司简介</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 xml:space="preserve"> </w:t>
      </w:r>
    </w:p>
    <w:p w14:paraId="1E5FFF26">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济宁市中正工程监理有限责任公司成立于2009年3月，具有水利部批准的水利工程施工监理甲级、水土保持工程施工监理乙级资质和建设部批准的房屋建筑工程监理乙级、市政公用工程监理乙级资质，是中国水利工程协会会员单位。公司于2020年11月通过SO9001质量体系、ISO14001环境管理体系、OHSAS18001职业健康安全管理体系认证。</w:t>
      </w:r>
    </w:p>
    <w:p w14:paraId="0283B30A">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eastAsia="方正仿宋简体"/>
          <w:lang w:val="en-US" w:eastAsia="zh-CN"/>
        </w:rPr>
      </w:pPr>
      <w:r>
        <w:rPr>
          <w:rFonts w:hint="default" w:ascii="Times New Roman" w:hAnsi="Times New Roman" w:eastAsia="方正仿宋简体" w:cs="Times New Roman"/>
          <w:b/>
          <w:bCs/>
          <w:sz w:val="32"/>
          <w:szCs w:val="32"/>
        </w:rPr>
        <w:t>公司自成立以来，已监理过的水利工程项目</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水土保持项目</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val="en-US" w:eastAsia="zh-CN"/>
        </w:rPr>
        <w:t>市政公用工程项目及房屋建筑工程项目</w:t>
      </w:r>
      <w:r>
        <w:rPr>
          <w:rFonts w:hint="default" w:ascii="Times New Roman" w:hAnsi="Times New Roman" w:eastAsia="方正仿宋简体" w:cs="Times New Roman"/>
          <w:b/>
          <w:bCs/>
          <w:sz w:val="32"/>
          <w:szCs w:val="32"/>
        </w:rPr>
        <w:t>共有三百余项，2016 年3月，被水利部评为“水利建设市场主体信用评价AAA 级”单位；2017年获得济宁市工商行政管理局颁发的“重合同守信用”企业；2019年被济宁市水利协会评为“优秀企业”。润泽中正监理QC小组课题提高污水处理厂曝气滤池预埋Q235-B碳钢套管安装一次性合格率获得中国水利工程协会2024年度水利工程优秀质量管理小组成果Ⅲ类成果称号。泗水县泗河黄阴集大闸除险加固工程荣获2021年度山东省水利厅、山东省总工会颁发的“优质工程奖”和山东省住建厅颁发的“山东省建筑工程优质结构”奖等。济宁市洸府河治理工程（任城区段）、聊城市阳谷县引黄灌区农业节水工程（2021年）荣获2022年山东省水利厅、山东省总工会颁发的“文明工地”称号。2023年2月被济宁市城乡水务局授予水利安全生产标准化三级单位</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曲阜尼山白村坝工程荣获2023年度全省重点水利工程建设“争进度、赛质量，比担当、创精品”创新创优劳动竞赛文明工地称号</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val="en-US" w:eastAsia="zh-CN"/>
        </w:rPr>
        <w:t>汶上化工产业园污水处理工程项目（EPC）荣获</w:t>
      </w:r>
      <w:r>
        <w:rPr>
          <w:rFonts w:hint="default"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4</w:t>
      </w:r>
      <w:r>
        <w:rPr>
          <w:rFonts w:hint="default" w:ascii="Times New Roman" w:hAnsi="Times New Roman" w:eastAsia="方正仿宋简体" w:cs="Times New Roman"/>
          <w:b/>
          <w:bCs/>
          <w:sz w:val="32"/>
          <w:szCs w:val="32"/>
        </w:rPr>
        <w:t>年度山东省住建厅颁发的“山东省建筑工程优质结构”奖</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val="en-US" w:eastAsia="zh-CN"/>
        </w:rPr>
        <w:t>鱼台县长青产业园污水处理厂项目、嘉北新区污水处理厂工程项目、济宁市泗河综合开发防洪堤防及水资源控制工程泗水县泗河官园（原林泉）橡胶坝工程荣获</w:t>
      </w:r>
      <w:r>
        <w:rPr>
          <w:rFonts w:hint="default"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年度山东省住建厅颁发的“山东省建筑工程优质结构”奖</w:t>
      </w:r>
      <w:r>
        <w:rPr>
          <w:rFonts w:hint="eastAsia" w:ascii="Times New Roman" w:hAnsi="Times New Roman" w:eastAsia="方正仿宋简体" w:cs="Times New Roman"/>
          <w:b/>
          <w:bCs/>
          <w:sz w:val="32"/>
          <w:szCs w:val="32"/>
          <w:lang w:eastAsia="zh-CN"/>
        </w:rPr>
        <w:t>，泗水县泗河岳陵拦河闸工程荣获202</w:t>
      </w:r>
      <w:r>
        <w:rPr>
          <w:rFonts w:hint="eastAsia" w:ascii="Times New Roman" w:hAnsi="Times New Roman" w:eastAsia="方正仿宋简体" w:cs="Times New Roman"/>
          <w:b/>
          <w:bCs/>
          <w:sz w:val="32"/>
          <w:szCs w:val="32"/>
          <w:lang w:val="en-US" w:eastAsia="zh-CN"/>
        </w:rPr>
        <w:t>5</w:t>
      </w:r>
      <w:r>
        <w:rPr>
          <w:rFonts w:hint="eastAsia" w:ascii="Times New Roman" w:hAnsi="Times New Roman" w:eastAsia="方正仿宋简体" w:cs="Times New Roman"/>
          <w:b/>
          <w:bCs/>
          <w:sz w:val="32"/>
          <w:szCs w:val="32"/>
          <w:lang w:eastAsia="zh-CN"/>
        </w:rPr>
        <w:t>年度全省重点水利工程建设“争进度、赛质量，比担当、创精品”创新创</w:t>
      </w:r>
      <w:r>
        <w:rPr>
          <w:rFonts w:hint="eastAsia" w:ascii="Times New Roman" w:hAnsi="Times New Roman" w:eastAsia="方正仿宋简体" w:cs="Times New Roman"/>
          <w:b/>
          <w:bCs/>
          <w:sz w:val="32"/>
          <w:szCs w:val="32"/>
          <w:lang w:val="en-US" w:eastAsia="zh-CN"/>
        </w:rPr>
        <w:t>优质工程二等奖</w:t>
      </w:r>
      <w:r>
        <w:rPr>
          <w:rFonts w:hint="eastAsia" w:ascii="Times New Roman" w:hAnsi="Times New Roman" w:eastAsia="方正仿宋简体" w:cs="Times New Roman"/>
          <w:b/>
          <w:bCs/>
          <w:sz w:val="32"/>
          <w:szCs w:val="32"/>
          <w:lang w:eastAsia="zh-CN"/>
        </w:rPr>
        <w:t>。</w:t>
      </w:r>
    </w:p>
    <w:p w14:paraId="5462927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黑体简体" w:cs="Times New Roman"/>
          <w:b w:val="0"/>
          <w:bCs w:val="0"/>
          <w:sz w:val="28"/>
          <w:szCs w:val="28"/>
          <w:lang w:val="en-US" w:eastAsia="zh-CN"/>
        </w:rPr>
      </w:pPr>
      <w:r>
        <w:rPr>
          <w:rFonts w:hint="eastAsia" w:ascii="Times New Roman" w:hAnsi="Times New Roman" w:eastAsia="方正黑体简体" w:cs="Times New Roman"/>
          <w:b/>
          <w:bCs/>
          <w:sz w:val="32"/>
          <w:szCs w:val="32"/>
        </w:rPr>
        <w:t>二、主要会计数据和财务指标</w:t>
      </w:r>
      <w:r>
        <w:rPr>
          <w:rFonts w:hint="eastAsia" w:ascii="Times New Roman" w:hAnsi="Times New Roman" w:eastAsia="方正黑体简体" w:cs="Times New Roman"/>
          <w:b w:val="0"/>
          <w:bCs w:val="0"/>
          <w:sz w:val="28"/>
          <w:szCs w:val="28"/>
          <w:lang w:val="en-US" w:eastAsia="zh-CN"/>
        </w:rPr>
        <w:t>（截至到2026年6月30日）</w:t>
      </w:r>
    </w:p>
    <w:p w14:paraId="08F894C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eastAsia" w:ascii="Times New Roman" w:hAnsi="Times New Roman" w:eastAsia="方正黑体简体" w:cs="Times New Roman"/>
          <w:b w:val="0"/>
          <w:bCs w:val="0"/>
          <w:sz w:val="32"/>
          <w:szCs w:val="32"/>
          <w:lang w:val="en-US" w:eastAsia="zh-CN"/>
        </w:rPr>
      </w:pPr>
      <w:r>
        <w:rPr>
          <w:rFonts w:hint="eastAsia" w:ascii="Times New Roman" w:hAnsi="Times New Roman" w:eastAsia="方正黑体简体" w:cs="Times New Roman"/>
          <w:b w:val="0"/>
          <w:bCs w:val="0"/>
          <w:sz w:val="32"/>
          <w:szCs w:val="32"/>
          <w:lang w:val="en-US" w:eastAsia="zh-CN"/>
        </w:rPr>
        <w:t>2026年中期主要财务数据</w:t>
      </w:r>
    </w:p>
    <w:p w14:paraId="3ACE5E35">
      <w:pPr>
        <w:keepNext w:val="0"/>
        <w:keepLines w:val="0"/>
        <w:pageBreakBefore w:val="0"/>
        <w:widowControl w:val="0"/>
        <w:kinsoku/>
        <w:wordWrap/>
        <w:overflowPunct/>
        <w:topLinePunct w:val="0"/>
        <w:autoSpaceDE/>
        <w:autoSpaceDN/>
        <w:bidi w:val="0"/>
        <w:adjustRightInd/>
        <w:spacing w:line="600" w:lineRule="exact"/>
        <w:ind w:firstLine="7040" w:firstLineChars="22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5B84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4054" w:type="dxa"/>
            <w:shd w:val="clear" w:color="auto" w:fill="auto"/>
            <w:vAlign w:val="top"/>
          </w:tcPr>
          <w:p w14:paraId="4B0E4EF9">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center"/>
          </w:tcPr>
          <w:p w14:paraId="0758A9F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4054" w:type="dxa"/>
          </w:tcPr>
          <w:p w14:paraId="08CDA57F">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5E2649AE">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460.91</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4054" w:type="dxa"/>
          </w:tcPr>
          <w:p w14:paraId="67E9107F">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283.30</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4054" w:type="dxa"/>
          </w:tcPr>
          <w:p w14:paraId="734EFB74">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177.60</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4054" w:type="dxa"/>
          </w:tcPr>
          <w:p w14:paraId="221D3B1B">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172.45</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4054" w:type="dxa"/>
          </w:tcPr>
          <w:p w14:paraId="03A47F7E">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2541.66</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4054" w:type="dxa"/>
          </w:tcPr>
          <w:p w14:paraId="0AC74172">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641.27</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4054" w:type="dxa"/>
          </w:tcPr>
          <w:p w14:paraId="34773FD6">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1900.39</w:t>
            </w:r>
          </w:p>
        </w:tc>
      </w:tr>
    </w:tbl>
    <w:p w14:paraId="084F91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eastAsia"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67665CC6">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w:t>
      </w:r>
      <w:r>
        <w:rPr>
          <w:rFonts w:hint="eastAsia" w:ascii="Times New Roman" w:hAnsi="Times New Roman" w:eastAsia="方正仿宋简体" w:cs="Times New Roman"/>
          <w:b/>
          <w:bCs/>
          <w:sz w:val="32"/>
          <w:szCs w:val="32"/>
          <w:lang w:val="en-US" w:eastAsia="zh-CN"/>
        </w:rPr>
        <w:t>6</w:t>
      </w:r>
      <w:r>
        <w:rPr>
          <w:rFonts w:hint="default" w:ascii="Times New Roman" w:hAnsi="Times New Roman" w:eastAsia="方正仿宋简体" w:cs="Times New Roman"/>
          <w:b/>
          <w:bCs/>
          <w:sz w:val="32"/>
          <w:szCs w:val="32"/>
          <w:lang w:val="en-US" w:eastAsia="zh-CN"/>
        </w:rPr>
        <w:t>年中期，公司实现营业总收入</w:t>
      </w:r>
      <w:r>
        <w:rPr>
          <w:rFonts w:hint="eastAsia" w:ascii="Times New Roman" w:hAnsi="Times New Roman" w:eastAsia="方正仿宋简体" w:cs="Times New Roman"/>
          <w:b/>
          <w:bCs/>
          <w:sz w:val="32"/>
          <w:szCs w:val="32"/>
          <w:lang w:val="en-US" w:eastAsia="zh-CN"/>
        </w:rPr>
        <w:t>460.91</w:t>
      </w:r>
      <w:r>
        <w:rPr>
          <w:rFonts w:hint="default" w:ascii="Times New Roman" w:hAnsi="Times New Roman" w:eastAsia="方正仿宋简体" w:cs="Times New Roman"/>
          <w:b/>
          <w:bCs/>
          <w:sz w:val="32"/>
          <w:szCs w:val="32"/>
          <w:lang w:val="en-US" w:eastAsia="zh-CN"/>
        </w:rPr>
        <w:t>万元，完成年度预算的5</w:t>
      </w:r>
      <w:r>
        <w:rPr>
          <w:rFonts w:hint="eastAsia" w:ascii="Times New Roman" w:hAnsi="Times New Roman" w:eastAsia="方正仿宋简体" w:cs="Times New Roman"/>
          <w:b/>
          <w:bCs/>
          <w:sz w:val="32"/>
          <w:szCs w:val="32"/>
          <w:lang w:val="en-US" w:eastAsia="zh-CN"/>
        </w:rPr>
        <w:t>7</w:t>
      </w:r>
      <w:r>
        <w:rPr>
          <w:rFonts w:hint="default" w:ascii="Times New Roman" w:hAnsi="Times New Roman" w:eastAsia="方正仿宋简体" w:cs="Times New Roman"/>
          <w:b/>
          <w:bCs/>
          <w:sz w:val="32"/>
          <w:szCs w:val="32"/>
          <w:lang w:val="en-US" w:eastAsia="zh-CN"/>
        </w:rPr>
        <w:t xml:space="preserve">%；实现利润总额 </w:t>
      </w:r>
      <w:r>
        <w:rPr>
          <w:rFonts w:hint="eastAsia" w:ascii="Times New Roman" w:hAnsi="Times New Roman" w:eastAsia="方正仿宋简体" w:cs="Times New Roman"/>
          <w:b/>
          <w:bCs/>
          <w:sz w:val="32"/>
          <w:szCs w:val="32"/>
          <w:lang w:val="en-US" w:eastAsia="zh-CN"/>
        </w:rPr>
        <w:t>177.6</w:t>
      </w:r>
      <w:r>
        <w:rPr>
          <w:rFonts w:hint="default" w:ascii="Times New Roman" w:hAnsi="Times New Roman" w:eastAsia="方正仿宋简体" w:cs="Times New Roman"/>
          <w:b/>
          <w:bCs/>
          <w:sz w:val="32"/>
          <w:szCs w:val="32"/>
          <w:lang w:val="en-US" w:eastAsia="zh-CN"/>
        </w:rPr>
        <w:t>万元，完成年度预算的</w:t>
      </w:r>
      <w:r>
        <w:rPr>
          <w:rFonts w:hint="eastAsia" w:ascii="Times New Roman" w:hAnsi="Times New Roman" w:eastAsia="方正仿宋简体" w:cs="Times New Roman"/>
          <w:b/>
          <w:bCs/>
          <w:sz w:val="32"/>
          <w:szCs w:val="32"/>
          <w:lang w:val="en-US" w:eastAsia="zh-CN"/>
        </w:rPr>
        <w:t>68.3</w:t>
      </w:r>
      <w:r>
        <w:rPr>
          <w:rFonts w:hint="default" w:ascii="Times New Roman" w:hAnsi="Times New Roman" w:eastAsia="方正仿宋简体" w:cs="Times New Roman"/>
          <w:b/>
          <w:bCs/>
          <w:sz w:val="32"/>
          <w:szCs w:val="32"/>
          <w:lang w:val="en-US" w:eastAsia="zh-CN"/>
        </w:rPr>
        <w:t xml:space="preserve">%；实现净利润 </w:t>
      </w:r>
      <w:r>
        <w:rPr>
          <w:rFonts w:hint="eastAsia" w:ascii="Times New Roman" w:hAnsi="Times New Roman" w:eastAsia="方正仿宋简体" w:cs="Times New Roman"/>
          <w:b/>
          <w:bCs/>
          <w:sz w:val="32"/>
          <w:szCs w:val="32"/>
          <w:lang w:val="en-US" w:eastAsia="zh-CN"/>
        </w:rPr>
        <w:t>172.45</w:t>
      </w:r>
      <w:r>
        <w:rPr>
          <w:rFonts w:hint="default" w:ascii="Times New Roman" w:hAnsi="Times New Roman" w:eastAsia="方正仿宋简体" w:cs="Times New Roman"/>
          <w:b/>
          <w:bCs/>
          <w:sz w:val="32"/>
          <w:szCs w:val="32"/>
          <w:lang w:val="en-US" w:eastAsia="zh-CN"/>
        </w:rPr>
        <w:t>万元，完成年度预算的</w:t>
      </w:r>
      <w:r>
        <w:rPr>
          <w:rFonts w:hint="eastAsia" w:ascii="Times New Roman" w:hAnsi="Times New Roman" w:eastAsia="方正仿宋简体" w:cs="Times New Roman"/>
          <w:b/>
          <w:bCs/>
          <w:sz w:val="32"/>
          <w:szCs w:val="32"/>
          <w:lang w:val="en-US" w:eastAsia="zh-CN"/>
        </w:rPr>
        <w:t>66.3</w:t>
      </w:r>
      <w:r>
        <w:rPr>
          <w:rFonts w:hint="default" w:ascii="Times New Roman" w:hAnsi="Times New Roman" w:eastAsia="方正仿宋简体" w:cs="Times New Roman"/>
          <w:b/>
          <w:bCs/>
          <w:sz w:val="32"/>
          <w:szCs w:val="32"/>
          <w:lang w:val="en-US" w:eastAsia="zh-CN"/>
        </w:rPr>
        <w:t>%。</w:t>
      </w:r>
    </w:p>
    <w:p w14:paraId="5218B35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2"/>
        <w:textAlignment w:val="auto"/>
        <w:rPr>
          <w:rFonts w:hint="default" w:ascii="Times New Roman" w:hAnsi="Times New Roman" w:eastAsia="方正黑体简体" w:cs="Times New Roman"/>
          <w:b/>
          <w:bCs/>
          <w:sz w:val="32"/>
          <w:szCs w:val="32"/>
        </w:rPr>
      </w:pPr>
      <w:r>
        <w:rPr>
          <w:rFonts w:hint="eastAsia"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49FE0FF2">
      <w:pPr>
        <w:pStyle w:val="15"/>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leftChars="0" w:right="0" w:firstLine="643" w:firstLineChars="200"/>
        <w:jc w:val="both"/>
        <w:textAlignment w:val="auto"/>
        <w:rPr>
          <w:rFonts w:hint="default" w:ascii="Times New Roman" w:hAnsi="Times New Roman" w:eastAsia="方正仿宋简体" w:cs="Times New Roman"/>
          <w:b/>
          <w:bCs/>
          <w:kern w:val="2"/>
          <w:sz w:val="32"/>
          <w:szCs w:val="32"/>
          <w:u w:val="none"/>
          <w:shd w:val="clear"/>
          <w:lang w:val="en-US" w:eastAsia="zh-CN" w:bidi="ar-SA"/>
        </w:rPr>
      </w:pPr>
      <w:r>
        <w:rPr>
          <w:rFonts w:hint="default" w:ascii="Times New Roman" w:hAnsi="Times New Roman" w:eastAsia="方正仿宋简体" w:cs="Times New Roman"/>
          <w:b/>
          <w:bCs/>
          <w:kern w:val="2"/>
          <w:sz w:val="32"/>
          <w:szCs w:val="32"/>
          <w:u w:val="none"/>
          <w:shd w:val="clear"/>
          <w:lang w:val="en-US" w:eastAsia="zh-CN" w:bidi="ar-SA"/>
        </w:rPr>
        <w:t>无</w:t>
      </w:r>
      <w:r>
        <w:rPr>
          <w:rFonts w:hint="eastAsia" w:ascii="Times New Roman" w:hAnsi="Times New Roman" w:eastAsia="方正仿宋简体" w:cs="Times New Roman"/>
          <w:b/>
          <w:bCs/>
          <w:kern w:val="2"/>
          <w:sz w:val="32"/>
          <w:szCs w:val="32"/>
          <w:u w:val="none"/>
          <w:shd w:val="clear"/>
          <w:lang w:val="en-US" w:eastAsia="zh-CN" w:bidi="ar-SA"/>
        </w:rPr>
        <w:t>。</w:t>
      </w:r>
    </w:p>
    <w:p w14:paraId="66429116">
      <w:pPr>
        <w:pStyle w:val="2"/>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default"/>
          <w:lang w:val="en-US" w:eastAsia="zh-CN"/>
        </w:rPr>
      </w:pPr>
    </w:p>
    <w:sectPr>
      <w:footerReference r:id="rId3" w:type="default"/>
      <w:pgSz w:w="11906" w:h="16838"/>
      <w:pgMar w:top="2098" w:right="1474" w:bottom="1984"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0C7696F-2EF9-4BD2-8AAB-EDFD5FC9A1E7}"/>
  </w:font>
  <w:font w:name="方正小标宋简体">
    <w:panose1 w:val="03000509000000000000"/>
    <w:charset w:val="86"/>
    <w:family w:val="script"/>
    <w:pitch w:val="default"/>
    <w:sig w:usb0="00000001" w:usb1="080E0000" w:usb2="00000000" w:usb3="00000000" w:csb0="00040000" w:csb1="00000000"/>
    <w:embedRegular r:id="rId2" w:fontKey="{14F2FE87-D2B5-4A58-834E-D8FB278A001D}"/>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34C55">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2712085</wp:posOffset>
              </wp:positionH>
              <wp:positionV relativeFrom="paragraph">
                <wp:posOffset>-10795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DDEC00">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3.55pt;margin-top:-0.85pt;height:144pt;width:144pt;mso-position-horizontal-relative:margin;mso-wrap-style:none;z-index:251659264;mso-width-relative:page;mso-height-relative:page;" filled="f" stroked="f" coordsize="21600,21600" o:gfxdata="UEsDBAoAAAAAAIdO4kAAAAAAAAAAAAAAAAAEAAAAZHJzL1BLAwQUAAAACACHTuJAzsayYtgAAAAK&#10;AQAADwAAAGRycy9kb3ducmV2LnhtbE2PwU7DMAyG70i8Q2QkbluabqxT13QSE+WIxMqBY9Z4baFx&#10;qiTrytsTTuxo+9Pv7y/2sxnYhM73liSIZQIMqbG6p1bCR10ttsB8UKTVYAkl/KCHfXl/V6hc2yu9&#10;43QMLYsh5HMloQthzDn3TYdG+aUdkeLtbJ1RIY6u5dqpaww3A0+TZMON6il+6NSIhw6b7+PFSDhU&#10;de0m9G74xNdq9fX2vMaXWcrHB5HsgAWcwz8Mf/pRHcrodLIX0p4NEtZpJiIqYSEyYBHIxFNcnCSk&#10;280KeFnw2wrlL1BLAwQUAAAACACHTuJAa4X5+zECAABh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7oaF19&#10;qPoLmDvLwlbvLI9ponrero4BYnYaR4F6VQbdMHldl4ZXEkf7z30X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zsayYtgAAAAKAQAADwAAAAAAAAABACAAAAAiAAAAZHJzL2Rvd25yZXYueG1s&#10;UEsBAhQAFAAAAAgAh07iQGuF+fsxAgAAYQQAAA4AAAAAAAAAAQAgAAAAJwEAAGRycy9lMm9Eb2Mu&#10;eG1sUEsFBgAAAAAGAAYAWQEAAMoFAAAAAA==&#10;">
              <v:fill on="f" focussize="0,0"/>
              <v:stroke on="f" weight="0.5pt"/>
              <v:imagedata o:title=""/>
              <o:lock v:ext="edit" aspectratio="f"/>
              <v:textbox inset="0mm,0mm,0mm,0mm" style="mso-fit-shape-to-text:t;">
                <w:txbxContent>
                  <w:p w14:paraId="41DDEC00">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0E0252"/>
    <w:multiLevelType w:val="singleLevel"/>
    <w:tmpl w:val="EA0E025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1672CEA"/>
    <w:rsid w:val="04820447"/>
    <w:rsid w:val="04F419D9"/>
    <w:rsid w:val="06DF3B7E"/>
    <w:rsid w:val="074D3623"/>
    <w:rsid w:val="09CF2371"/>
    <w:rsid w:val="09EC724C"/>
    <w:rsid w:val="0B1D4051"/>
    <w:rsid w:val="0D052EAD"/>
    <w:rsid w:val="0D6D5D2C"/>
    <w:rsid w:val="103E05DD"/>
    <w:rsid w:val="13C03760"/>
    <w:rsid w:val="13CC2444"/>
    <w:rsid w:val="15D840D8"/>
    <w:rsid w:val="17852965"/>
    <w:rsid w:val="180477A4"/>
    <w:rsid w:val="19560A59"/>
    <w:rsid w:val="1C496371"/>
    <w:rsid w:val="21EA12B6"/>
    <w:rsid w:val="289775FC"/>
    <w:rsid w:val="29D47C5C"/>
    <w:rsid w:val="2A4822AF"/>
    <w:rsid w:val="2AE5579D"/>
    <w:rsid w:val="2D9F5C7A"/>
    <w:rsid w:val="2FBA398F"/>
    <w:rsid w:val="33A670F3"/>
    <w:rsid w:val="340F5638"/>
    <w:rsid w:val="35D9381B"/>
    <w:rsid w:val="35FA4023"/>
    <w:rsid w:val="373830F8"/>
    <w:rsid w:val="39EA4612"/>
    <w:rsid w:val="3AAE6560"/>
    <w:rsid w:val="3C3663D5"/>
    <w:rsid w:val="3C86689A"/>
    <w:rsid w:val="3F6A64F8"/>
    <w:rsid w:val="40B0793D"/>
    <w:rsid w:val="40E1715D"/>
    <w:rsid w:val="419C0824"/>
    <w:rsid w:val="44244964"/>
    <w:rsid w:val="4D16313C"/>
    <w:rsid w:val="50DE6667"/>
    <w:rsid w:val="57404164"/>
    <w:rsid w:val="59EC48C6"/>
    <w:rsid w:val="5C83014D"/>
    <w:rsid w:val="5CB01382"/>
    <w:rsid w:val="5D75511C"/>
    <w:rsid w:val="5E145AF2"/>
    <w:rsid w:val="5F372BCB"/>
    <w:rsid w:val="5F412942"/>
    <w:rsid w:val="60785E58"/>
    <w:rsid w:val="61262121"/>
    <w:rsid w:val="678437B5"/>
    <w:rsid w:val="6CF238C8"/>
    <w:rsid w:val="6EFC5460"/>
    <w:rsid w:val="70C1078D"/>
    <w:rsid w:val="72D94FAB"/>
    <w:rsid w:val="74113C98"/>
    <w:rsid w:val="7451111C"/>
    <w:rsid w:val="75D26FF0"/>
    <w:rsid w:val="775A30EF"/>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Body Text"/>
    <w:basedOn w:val="1"/>
    <w:qFormat/>
    <w:uiPriority w:val="0"/>
  </w:style>
  <w:style w:type="paragraph" w:styleId="4">
    <w:name w:val="Body Text Indent"/>
    <w:basedOn w:val="1"/>
    <w:unhideWhenUsed/>
    <w:qFormat/>
    <w:uiPriority w:val="99"/>
    <w:pPr>
      <w:ind w:left="420" w:leftChars="200"/>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w:basedOn w:val="3"/>
    <w:qFormat/>
    <w:uiPriority w:val="0"/>
    <w:pPr>
      <w:ind w:firstLine="420" w:firstLineChars="100"/>
    </w:pPr>
  </w:style>
  <w:style w:type="paragraph" w:styleId="8">
    <w:name w:val="Body Text First Indent 2"/>
    <w:basedOn w:val="4"/>
    <w:next w:val="7"/>
    <w:qFormat/>
    <w:uiPriority w:val="99"/>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qFormat/>
    <w:uiPriority w:val="0"/>
    <w:rPr>
      <w:kern w:val="2"/>
      <w:sz w:val="18"/>
      <w:szCs w:val="18"/>
    </w:rPr>
  </w:style>
  <w:style w:type="character" w:customStyle="1" w:styleId="13">
    <w:name w:val="页脚 字符"/>
    <w:basedOn w:val="11"/>
    <w:link w:val="5"/>
    <w:qFormat/>
    <w:uiPriority w:val="0"/>
    <w:rPr>
      <w:kern w:val="2"/>
      <w:sz w:val="18"/>
      <w:szCs w:val="18"/>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Body text|1"/>
    <w:basedOn w:val="1"/>
    <w:autoRedefine/>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1070</Words>
  <Characters>1169</Characters>
  <Lines>5</Lines>
  <Paragraphs>1</Paragraphs>
  <TotalTime>0</TotalTime>
  <ScaleCrop>false</ScaleCrop>
  <LinksUpToDate>false</LinksUpToDate>
  <CharactersWithSpaces>1179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2026-08-28T00:49:15Z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E31930DC5592439DA4C7CC0E5E60F993_13</vt:lpwstr>
  </property>
  <property fmtid="{D5CDD505-2E9C-101B-9397-08002B2CF9AE}" pid="4" name="KSOTemplateDocerSaveRecord">
    <vt:lpwstr>eyJoZGlkIjoiYzgzZDE3YjdjMWRhMTJhYmNhNjIwMDE0ZjRiMDc0YWEiLCJ1c2VySWQiOiIzNDI0Nzc0MDgifQ==</vt:lpwstr>
  </property>
</Properties>
</file>