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F91E5">
      <w:pPr>
        <w:keepNext w:val="0"/>
        <w:keepLines w:val="0"/>
        <w:pageBreakBefore w:val="0"/>
        <w:widowControl w:val="0"/>
        <w:kinsoku/>
        <w:wordWrap/>
        <w:overflowPunct/>
        <w:topLinePunct w:val="0"/>
        <w:autoSpaceDE/>
        <w:autoSpaceDN/>
        <w:bidi w:val="0"/>
        <w:adjustRightInd/>
        <w:snapToGrid w:val="0"/>
        <w:spacing w:line="640" w:lineRule="exact"/>
        <w:jc w:val="center"/>
        <w:textAlignment w:val="auto"/>
        <w:rPr>
          <w:rFonts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嘉祥玖贡置业有限公司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bookmarkStart w:id="0" w:name="_GoBack"/>
      <w:bookmarkEnd w:id="0"/>
    </w:p>
    <w:p w14:paraId="604CC739">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FA32ADE">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w:t>
      </w:r>
      <w:r>
        <w:rPr>
          <w:rFonts w:hint="eastAsia" w:ascii="Times New Roman" w:hAnsi="Times New Roman" w:eastAsia="方正仿宋简体" w:cs="Times New Roman"/>
          <w:b/>
          <w:bCs/>
          <w:sz w:val="32"/>
          <w:szCs w:val="32"/>
        </w:rPr>
        <w:t>嘉祥玖贡置业有限公司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eastAsia" w:ascii="Times New Roman" w:hAnsi="Times New Roman" w:eastAsia="方正仿宋简体" w:cs="Times New Roman"/>
          <w:b/>
          <w:bCs/>
          <w:sz w:val="32"/>
          <w:szCs w:val="32"/>
          <w:lang w:val="en-US" w:eastAsia="zh-CN"/>
        </w:rPr>
        <w:t>韩皎晏</w:t>
      </w:r>
    </w:p>
    <w:p w14:paraId="5AD4CC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方正仿宋简体" w:cs="方正仿宋简体"/>
          <w:b/>
          <w:bCs/>
          <w:sz w:val="32"/>
          <w:szCs w:val="32"/>
        </w:rPr>
      </w:pPr>
      <w:r>
        <w:rPr>
          <w:rFonts w:hint="default" w:ascii="Times New Roman" w:hAnsi="Times New Roman" w:eastAsia="方正仿宋简体" w:cs="Times New Roman"/>
          <w:b/>
          <w:bCs/>
          <w:sz w:val="32"/>
          <w:szCs w:val="32"/>
        </w:rPr>
        <w:t>3.注册地址：</w:t>
      </w:r>
      <w:r>
        <w:rPr>
          <w:rFonts w:hint="eastAsia" w:ascii="Times New Roman" w:hAnsi="Times New Roman" w:eastAsia="方正仿宋简体" w:cs="方正仿宋简体"/>
          <w:b/>
          <w:bCs/>
          <w:sz w:val="32"/>
          <w:szCs w:val="32"/>
        </w:rPr>
        <w:t>山东省济宁市嘉祥县获麟街115号（自来水公司院内）3号楼二楼东侧北首第一间</w:t>
      </w:r>
    </w:p>
    <w:p w14:paraId="092044E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4.经营范围：</w:t>
      </w:r>
      <w:r>
        <w:rPr>
          <w:rFonts w:hint="default" w:ascii="Times New Roman" w:hAnsi="Times New Roman" w:eastAsia="方正仿宋简体" w:cs="Times New Roman"/>
          <w:b/>
          <w:bCs/>
          <w:sz w:val="32"/>
          <w:szCs w:val="32"/>
          <w:lang w:val="en-US" w:eastAsia="zh-CN"/>
        </w:rPr>
        <w:t>房地产开发经营。（依法须经批准的项目，经相关部门批准后方可开展经营活动）</w:t>
      </w:r>
    </w:p>
    <w:p w14:paraId="1A965AE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 xml:space="preserve">5.公司简介: </w:t>
      </w:r>
      <w:r>
        <w:rPr>
          <w:rFonts w:hint="default" w:ascii="Times New Roman" w:hAnsi="Times New Roman" w:eastAsia="方正仿宋简体" w:cs="Times New Roman"/>
          <w:b/>
          <w:bCs/>
          <w:sz w:val="32"/>
          <w:szCs w:val="32"/>
          <w:lang w:val="en-US" w:eastAsia="zh-CN"/>
        </w:rPr>
        <w:t>嘉祥玖贡置业有限公司是山东公用置业有限公司与九巨龙房地产开发集团</w:t>
      </w:r>
      <w:r>
        <w:rPr>
          <w:rFonts w:hint="eastAsia" w:ascii="Times New Roman" w:hAnsi="Times New Roman" w:eastAsia="方正仿宋简体" w:cs="Times New Roman"/>
          <w:b/>
          <w:bCs/>
          <w:sz w:val="32"/>
          <w:szCs w:val="32"/>
          <w:lang w:val="en-US" w:eastAsia="zh-CN"/>
        </w:rPr>
        <w:t>各</w:t>
      </w:r>
      <w:r>
        <w:rPr>
          <w:rFonts w:hint="default" w:ascii="Times New Roman" w:hAnsi="Times New Roman" w:eastAsia="方正仿宋简体" w:cs="Times New Roman"/>
          <w:b/>
          <w:bCs/>
          <w:sz w:val="32"/>
          <w:szCs w:val="32"/>
          <w:lang w:val="en-US" w:eastAsia="zh-CN"/>
        </w:rPr>
        <w:t>出资</w:t>
      </w:r>
      <w:r>
        <w:rPr>
          <w:rFonts w:hint="eastAsia" w:ascii="Times New Roman" w:hAnsi="Times New Roman" w:eastAsia="方正仿宋简体" w:cs="Times New Roman"/>
          <w:b/>
          <w:bCs/>
          <w:sz w:val="32"/>
          <w:szCs w:val="32"/>
          <w:lang w:val="en-US" w:eastAsia="zh-CN"/>
        </w:rPr>
        <w:t>50%</w:t>
      </w:r>
      <w:r>
        <w:rPr>
          <w:rFonts w:hint="default" w:ascii="Times New Roman" w:hAnsi="Times New Roman" w:eastAsia="方正仿宋简体" w:cs="Times New Roman"/>
          <w:b/>
          <w:bCs/>
          <w:sz w:val="32"/>
          <w:szCs w:val="32"/>
          <w:lang w:val="en-US" w:eastAsia="zh-CN"/>
        </w:rPr>
        <w:t>设立的企业</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成立于2018年8月</w:t>
      </w:r>
      <w:r>
        <w:rPr>
          <w:rFonts w:hint="eastAsia" w:ascii="Times New Roman" w:hAnsi="Times New Roman" w:eastAsia="方正仿宋简体" w:cs="Times New Roman"/>
          <w:b/>
          <w:bCs/>
          <w:sz w:val="32"/>
          <w:szCs w:val="32"/>
          <w:lang w:val="en-US" w:eastAsia="zh-CN"/>
        </w:rPr>
        <w:t>22日</w:t>
      </w:r>
      <w:r>
        <w:rPr>
          <w:rFonts w:hint="default" w:ascii="Times New Roman" w:hAnsi="Times New Roman" w:eastAsia="方正仿宋简体" w:cs="Times New Roman"/>
          <w:b/>
          <w:bCs/>
          <w:sz w:val="32"/>
          <w:szCs w:val="32"/>
          <w:lang w:val="en-US" w:eastAsia="zh-CN"/>
        </w:rPr>
        <w:t>，注册资本金2000万元</w:t>
      </w:r>
      <w:r>
        <w:rPr>
          <w:rFonts w:hint="eastAsia" w:ascii="Times New Roman" w:hAnsi="Times New Roman" w:eastAsia="方正仿宋简体" w:cs="Times New Roman"/>
          <w:b/>
          <w:bCs/>
          <w:sz w:val="32"/>
          <w:szCs w:val="32"/>
          <w:lang w:val="en-US" w:eastAsia="zh-CN"/>
        </w:rPr>
        <w:t>。</w:t>
      </w:r>
    </w:p>
    <w:p w14:paraId="5D3FE40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公司以“树立品牌形象，建设优质工程，打造诚信企业”为宗旨，一贯坚持以“市场为导向、开发为重点、经营为龙头、质量为根本”的开发理念和经营方针，致力于开发精品楼盘，优化嘉祥人居环境，精心为客户提供全方位、高品质的良好服务，走品牌化发展道路，开发项目以典雅恢弘的建筑，匠心独运的设计。</w:t>
      </w:r>
    </w:p>
    <w:p w14:paraId="0EA3FC5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公司开发项目为嘉祥公用丨九巨龙·山水龙城，位于嘉祥县嘉祥街道，小区坐拥优越的青山绿水资源---萌山公园、萌山湖，“依山、傍水、拥湖、赏园”的同时，也规划设计了和项目浑然一体的园内景观。基于对高端人居的深刻洞察，打造智能化社区，聚焦城市高端科技，小区内安装社区直饮水系统、智能入户、社区安防系统、可视对讲、快递智能收发系统、社区WIFI系统，科技融入社区的每一个角落。</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center"/>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rPr>
        <w:t>二、主要会计数据和财务指标</w:t>
      </w:r>
      <w:r>
        <w:rPr>
          <w:rFonts w:hint="eastAsia" w:ascii="Times New Roman" w:hAnsi="Times New Roman" w:eastAsia="方正黑体简体" w:cs="Times New Roman"/>
          <w:b w:val="0"/>
          <w:bCs w:val="0"/>
          <w:sz w:val="28"/>
          <w:szCs w:val="28"/>
          <w:lang w:val="en-US" w:eastAsia="zh-CN"/>
        </w:rPr>
        <w:t>（截止到2026年6月30日）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3EBAE8FA">
      <w:pPr>
        <w:keepNext w:val="0"/>
        <w:keepLines w:val="0"/>
        <w:pageBreakBefore w:val="0"/>
        <w:widowControl w:val="0"/>
        <w:kinsoku/>
        <w:wordWrap/>
        <w:overflowPunct/>
        <w:topLinePunct w:val="0"/>
        <w:autoSpaceDE/>
        <w:autoSpaceDN/>
        <w:bidi w:val="0"/>
        <w:adjustRightInd/>
        <w:spacing w:line="600" w:lineRule="exact"/>
        <w:ind w:firstLine="7040" w:firstLineChars="2200"/>
        <w:jc w:val="both"/>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7010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3AA7AD6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796AADF5">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shd w:val="clear" w:color="auto" w:fill="auto"/>
            <w:vAlign w:val="center"/>
          </w:tcPr>
          <w:p w14:paraId="5E2649AE">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宋体" w:cs="Times New Roman"/>
                <w:b/>
                <w:bCs/>
                <w:i w:val="0"/>
                <w:iCs w:val="0"/>
                <w:color w:val="000000"/>
                <w:kern w:val="0"/>
                <w:sz w:val="32"/>
                <w:szCs w:val="32"/>
                <w:u w:val="none"/>
                <w:lang w:val="en-US" w:eastAsia="zh-CN" w:bidi="ar"/>
              </w:rPr>
            </w:pPr>
            <w:r>
              <w:rPr>
                <w:rFonts w:hint="eastAsia" w:ascii="Times New Roman" w:hAnsi="Times New Roman" w:eastAsia="宋体" w:cs="Times New Roman"/>
                <w:b/>
                <w:bCs/>
                <w:i w:val="0"/>
                <w:iCs w:val="0"/>
                <w:color w:val="000000"/>
                <w:kern w:val="0"/>
                <w:sz w:val="32"/>
                <w:szCs w:val="32"/>
                <w:u w:val="none"/>
                <w:lang w:val="en-US" w:eastAsia="zh-CN" w:bidi="ar"/>
              </w:rPr>
              <w:t>35245</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shd w:val="clear" w:color="auto" w:fill="auto"/>
            <w:vAlign w:val="center"/>
          </w:tcPr>
          <w:p w14:paraId="60A4327B">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宋体" w:hAnsi="宋体" w:eastAsia="宋体" w:cs="宋体"/>
                <w:b/>
                <w:bCs/>
                <w:i w:val="0"/>
                <w:iCs w:val="0"/>
                <w:color w:val="000000"/>
                <w:kern w:val="2"/>
                <w:sz w:val="32"/>
                <w:szCs w:val="32"/>
                <w:u w:val="none"/>
                <w:lang w:val="en-US" w:eastAsia="zh-CN" w:bidi="ar-SA"/>
              </w:rPr>
            </w:pPr>
            <w:r>
              <w:rPr>
                <w:rFonts w:hint="eastAsia" w:ascii="Times New Roman" w:hAnsi="Times New Roman" w:eastAsia="宋体" w:cs="Times New Roman"/>
                <w:b/>
                <w:bCs/>
                <w:i w:val="0"/>
                <w:iCs w:val="0"/>
                <w:color w:val="000000"/>
                <w:kern w:val="0"/>
                <w:sz w:val="32"/>
                <w:szCs w:val="32"/>
                <w:u w:val="none"/>
                <w:lang w:val="en-US" w:eastAsia="zh-CN" w:bidi="ar"/>
              </w:rPr>
              <w:t>29101</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shd w:val="clear" w:color="auto" w:fill="auto"/>
            <w:vAlign w:val="center"/>
          </w:tcPr>
          <w:p w14:paraId="2D612CEE">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eastAsia" w:ascii="方正公文仿宋" w:hAnsi="方正公文仿宋" w:eastAsia="方正公文仿宋" w:cs="方正公文仿宋"/>
                <w:b/>
                <w:bCs/>
                <w:i w:val="0"/>
                <w:iCs w:val="0"/>
                <w:color w:val="000000"/>
                <w:kern w:val="0"/>
                <w:sz w:val="32"/>
                <w:szCs w:val="32"/>
                <w:u w:val="none"/>
                <w:lang w:val="en-US" w:eastAsia="zh-CN" w:bidi="ar"/>
              </w:rPr>
            </w:pPr>
            <w:r>
              <w:rPr>
                <w:rFonts w:hint="eastAsia" w:ascii="Times New Roman" w:hAnsi="Times New Roman" w:eastAsia="宋体" w:cs="Times New Roman"/>
                <w:b/>
                <w:bCs/>
                <w:i w:val="0"/>
                <w:iCs w:val="0"/>
                <w:color w:val="000000"/>
                <w:kern w:val="0"/>
                <w:sz w:val="32"/>
                <w:szCs w:val="32"/>
                <w:u w:val="none"/>
                <w:lang w:val="en-US" w:eastAsia="zh-CN" w:bidi="ar"/>
              </w:rPr>
              <w:t>6144</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shd w:val="clear" w:color="auto" w:fill="auto"/>
            <w:vAlign w:val="center"/>
          </w:tcPr>
          <w:p w14:paraId="12DFC477">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宋体" w:cs="Times New Roman"/>
                <w:b/>
                <w:bCs/>
                <w:i w:val="0"/>
                <w:iCs w:val="0"/>
                <w:color w:val="000000"/>
                <w:kern w:val="0"/>
                <w:sz w:val="32"/>
                <w:szCs w:val="32"/>
                <w:u w:val="none"/>
                <w:lang w:val="en-US" w:eastAsia="zh-CN" w:bidi="ar"/>
              </w:rPr>
            </w:pPr>
            <w:r>
              <w:rPr>
                <w:rFonts w:hint="eastAsia" w:ascii="Times New Roman" w:hAnsi="Times New Roman" w:eastAsia="宋体" w:cs="Times New Roman"/>
                <w:b/>
                <w:bCs/>
                <w:i w:val="0"/>
                <w:iCs w:val="0"/>
                <w:color w:val="000000"/>
                <w:kern w:val="0"/>
                <w:sz w:val="32"/>
                <w:szCs w:val="32"/>
                <w:u w:val="none"/>
                <w:lang w:val="en-US" w:eastAsia="zh-CN" w:bidi="ar"/>
              </w:rPr>
              <w:t>4608</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shd w:val="clear" w:color="auto" w:fill="auto"/>
            <w:vAlign w:val="center"/>
          </w:tcPr>
          <w:p w14:paraId="62D98D0B">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宋体" w:cs="Times New Roman"/>
                <w:b/>
                <w:bCs/>
                <w:i w:val="0"/>
                <w:iCs w:val="0"/>
                <w:color w:val="000000"/>
                <w:kern w:val="0"/>
                <w:sz w:val="32"/>
                <w:szCs w:val="32"/>
                <w:u w:val="none"/>
                <w:lang w:val="en-US" w:eastAsia="zh-CN" w:bidi="ar"/>
              </w:rPr>
            </w:pPr>
            <w:r>
              <w:rPr>
                <w:rFonts w:hint="eastAsia" w:ascii="Times New Roman" w:hAnsi="Times New Roman" w:eastAsia="宋体" w:cs="Times New Roman"/>
                <w:b/>
                <w:bCs/>
                <w:i w:val="0"/>
                <w:iCs w:val="0"/>
                <w:color w:val="000000"/>
                <w:kern w:val="0"/>
                <w:sz w:val="32"/>
                <w:szCs w:val="32"/>
                <w:u w:val="none"/>
                <w:lang w:val="en-US" w:eastAsia="zh-CN" w:bidi="ar"/>
              </w:rPr>
              <w:t>181147</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shd w:val="clear" w:color="auto" w:fill="auto"/>
            <w:vAlign w:val="center"/>
          </w:tcPr>
          <w:p w14:paraId="0A854D52">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宋体" w:cs="Times New Roman"/>
                <w:b/>
                <w:bCs/>
                <w:i w:val="0"/>
                <w:iCs w:val="0"/>
                <w:color w:val="000000"/>
                <w:kern w:val="0"/>
                <w:sz w:val="32"/>
                <w:szCs w:val="32"/>
                <w:u w:val="none"/>
                <w:lang w:val="en-US" w:eastAsia="zh-CN" w:bidi="ar"/>
              </w:rPr>
            </w:pPr>
            <w:r>
              <w:rPr>
                <w:rFonts w:hint="default" w:ascii="Times New Roman" w:hAnsi="Times New Roman" w:eastAsia="宋体" w:cs="Times New Roman"/>
                <w:b/>
                <w:bCs/>
                <w:i w:val="0"/>
                <w:iCs w:val="0"/>
                <w:color w:val="000000"/>
                <w:kern w:val="0"/>
                <w:sz w:val="32"/>
                <w:szCs w:val="32"/>
                <w:u w:val="none"/>
                <w:lang w:val="en-US" w:eastAsia="zh-CN" w:bidi="ar"/>
              </w:rPr>
              <w:t>156913</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shd w:val="clear" w:color="auto" w:fill="auto"/>
            <w:vAlign w:val="center"/>
          </w:tcPr>
          <w:p w14:paraId="48BD7381">
            <w:pPr>
              <w:keepNext w:val="0"/>
              <w:keepLines w:val="0"/>
              <w:pageBreakBefore w:val="0"/>
              <w:widowControl/>
              <w:suppressLineNumbers w:val="0"/>
              <w:kinsoku/>
              <w:wordWrap/>
              <w:overflowPunct/>
              <w:topLinePunct w:val="0"/>
              <w:autoSpaceDE/>
              <w:autoSpaceDN/>
              <w:bidi w:val="0"/>
              <w:adjustRightInd/>
              <w:spacing w:line="600" w:lineRule="exact"/>
              <w:jc w:val="center"/>
              <w:textAlignment w:val="center"/>
              <w:rPr>
                <w:rFonts w:hint="default" w:ascii="Times New Roman" w:hAnsi="Times New Roman" w:eastAsia="宋体" w:cs="Times New Roman"/>
                <w:b/>
                <w:bCs/>
                <w:i w:val="0"/>
                <w:iCs w:val="0"/>
                <w:color w:val="000000"/>
                <w:kern w:val="0"/>
                <w:sz w:val="32"/>
                <w:szCs w:val="32"/>
                <w:u w:val="none"/>
                <w:lang w:val="en-US" w:eastAsia="zh-CN" w:bidi="ar"/>
              </w:rPr>
            </w:pPr>
            <w:r>
              <w:rPr>
                <w:rFonts w:hint="default" w:ascii="Times New Roman" w:hAnsi="Times New Roman" w:eastAsia="宋体" w:cs="Times New Roman"/>
                <w:b/>
                <w:bCs/>
                <w:i w:val="0"/>
                <w:iCs w:val="0"/>
                <w:color w:val="000000"/>
                <w:kern w:val="0"/>
                <w:sz w:val="32"/>
                <w:szCs w:val="32"/>
                <w:u w:val="none"/>
                <w:lang w:val="en-US" w:eastAsia="zh-CN" w:bidi="ar"/>
              </w:rPr>
              <w:t>2</w:t>
            </w:r>
            <w:r>
              <w:rPr>
                <w:rFonts w:hint="eastAsia" w:ascii="Times New Roman" w:hAnsi="Times New Roman" w:eastAsia="宋体" w:cs="Times New Roman"/>
                <w:b/>
                <w:bCs/>
                <w:i w:val="0"/>
                <w:iCs w:val="0"/>
                <w:color w:val="000000"/>
                <w:kern w:val="0"/>
                <w:sz w:val="32"/>
                <w:szCs w:val="32"/>
                <w:u w:val="none"/>
                <w:lang w:val="en-US" w:eastAsia="zh-CN" w:bidi="ar"/>
              </w:rPr>
              <w:t>4234</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1DD469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eastAsia" w:ascii="Times New Roman" w:hAnsi="Times New Roman" w:eastAsia="方正仿宋简体" w:cs="方正仿宋简体"/>
          <w:b/>
          <w:bCs/>
          <w:sz w:val="32"/>
          <w:szCs w:val="32"/>
          <w:lang w:val="en-US" w:eastAsia="zh-CN"/>
        </w:rPr>
        <w:t>2026年中期</w:t>
      </w:r>
      <w:r>
        <w:rPr>
          <w:rFonts w:hint="eastAsia" w:ascii="Times New Roman" w:hAnsi="Times New Roman" w:eastAsia="方正仿宋简体" w:cs="方正仿宋简体"/>
          <w:b/>
          <w:bCs/>
          <w:sz w:val="32"/>
          <w:szCs w:val="32"/>
        </w:rPr>
        <w:t>累计实现营业收入</w:t>
      </w:r>
      <w:r>
        <w:rPr>
          <w:rFonts w:hint="eastAsia" w:ascii="Times New Roman" w:hAnsi="Times New Roman" w:eastAsia="方正仿宋简体" w:cs="方正仿宋简体"/>
          <w:b/>
          <w:bCs/>
          <w:sz w:val="32"/>
          <w:szCs w:val="32"/>
          <w:lang w:val="en-US" w:eastAsia="zh-CN"/>
        </w:rPr>
        <w:t>3.52亿</w:t>
      </w:r>
      <w:r>
        <w:rPr>
          <w:rFonts w:hint="eastAsia" w:ascii="Times New Roman" w:hAnsi="Times New Roman" w:eastAsia="方正仿宋简体" w:cs="方正仿宋简体"/>
          <w:b/>
          <w:bCs/>
          <w:sz w:val="32"/>
          <w:szCs w:val="32"/>
        </w:rPr>
        <w:t>元</w:t>
      </w:r>
      <w:r>
        <w:rPr>
          <w:rFonts w:hint="eastAsia" w:ascii="Times New Roman" w:hAnsi="Times New Roman" w:eastAsia="方正仿宋简体" w:cs="方正仿宋简体"/>
          <w:b/>
          <w:bCs/>
          <w:sz w:val="32"/>
          <w:szCs w:val="32"/>
          <w:lang w:eastAsia="zh-CN"/>
        </w:rPr>
        <w:t>，较全年预算目标</w:t>
      </w:r>
      <w:r>
        <w:rPr>
          <w:rFonts w:hint="eastAsia" w:ascii="Times New Roman" w:hAnsi="Times New Roman" w:eastAsia="方正仿宋简体" w:cs="方正仿宋简体"/>
          <w:b/>
          <w:bCs/>
          <w:sz w:val="32"/>
          <w:szCs w:val="32"/>
          <w:lang w:val="en-US" w:eastAsia="zh-CN"/>
        </w:rPr>
        <w:t>10.48</w:t>
      </w:r>
      <w:r>
        <w:rPr>
          <w:rFonts w:hint="eastAsia" w:ascii="Times New Roman" w:hAnsi="Times New Roman" w:eastAsia="方正仿宋简体" w:cs="方正仿宋简体"/>
          <w:b/>
          <w:bCs/>
          <w:sz w:val="32"/>
          <w:szCs w:val="32"/>
          <w:lang w:eastAsia="zh-CN"/>
        </w:rPr>
        <w:t>亿元完成</w:t>
      </w:r>
      <w:r>
        <w:rPr>
          <w:rFonts w:hint="eastAsia" w:ascii="Times New Roman" w:hAnsi="Times New Roman" w:eastAsia="方正仿宋简体" w:cs="方正仿宋简体"/>
          <w:b/>
          <w:bCs/>
          <w:sz w:val="32"/>
          <w:szCs w:val="32"/>
          <w:lang w:val="en-US" w:eastAsia="zh-CN"/>
        </w:rPr>
        <w:t>33.62</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；累计实现利润总额</w:t>
      </w:r>
      <w:r>
        <w:rPr>
          <w:rFonts w:hint="eastAsia" w:ascii="Times New Roman" w:hAnsi="Times New Roman" w:eastAsia="方正仿宋简体" w:cs="方正仿宋简体"/>
          <w:b/>
          <w:bCs/>
          <w:sz w:val="32"/>
          <w:szCs w:val="32"/>
          <w:lang w:val="en-US" w:eastAsia="zh-CN"/>
        </w:rPr>
        <w:t>6144万</w:t>
      </w:r>
      <w:r>
        <w:rPr>
          <w:rFonts w:hint="eastAsia" w:ascii="Times New Roman" w:hAnsi="Times New Roman" w:eastAsia="方正仿宋简体" w:cs="方正仿宋简体"/>
          <w:b/>
          <w:bCs/>
          <w:sz w:val="32"/>
          <w:szCs w:val="32"/>
        </w:rPr>
        <w:t>元，较全年预算目标</w:t>
      </w:r>
      <w:r>
        <w:rPr>
          <w:rFonts w:hint="eastAsia" w:ascii="Times New Roman" w:hAnsi="Times New Roman" w:eastAsia="方正仿宋简体" w:cs="方正仿宋简体"/>
          <w:b/>
          <w:bCs/>
          <w:sz w:val="32"/>
          <w:szCs w:val="32"/>
          <w:lang w:val="en-US" w:eastAsia="zh-CN"/>
        </w:rPr>
        <w:t>1.48亿</w:t>
      </w:r>
      <w:r>
        <w:rPr>
          <w:rFonts w:hint="eastAsia" w:ascii="Times New Roman" w:hAnsi="Times New Roman" w:eastAsia="方正仿宋简体" w:cs="方正仿宋简体"/>
          <w:b/>
          <w:bCs/>
          <w:sz w:val="32"/>
          <w:szCs w:val="32"/>
        </w:rPr>
        <w:t>元完成</w:t>
      </w:r>
      <w:r>
        <w:rPr>
          <w:rFonts w:hint="eastAsia" w:ascii="Times New Roman" w:hAnsi="Times New Roman" w:eastAsia="方正仿宋简体" w:cs="方正仿宋简体"/>
          <w:b/>
          <w:bCs/>
          <w:sz w:val="32"/>
          <w:szCs w:val="32"/>
          <w:lang w:val="en-US" w:eastAsia="zh-CN"/>
        </w:rPr>
        <w:t>41.59%。6月底</w:t>
      </w:r>
      <w:r>
        <w:rPr>
          <w:rFonts w:hint="eastAsia" w:ascii="Times New Roman" w:hAnsi="Times New Roman" w:eastAsia="方正仿宋简体" w:cs="方正仿宋简体"/>
          <w:b/>
          <w:bCs/>
          <w:sz w:val="32"/>
          <w:szCs w:val="32"/>
        </w:rPr>
        <w:t>资产负债率</w:t>
      </w:r>
      <w:r>
        <w:rPr>
          <w:rFonts w:hint="eastAsia" w:ascii="Times New Roman" w:hAnsi="Times New Roman" w:eastAsia="方正仿宋简体" w:cs="方正仿宋简体"/>
          <w:b/>
          <w:bCs/>
          <w:sz w:val="32"/>
          <w:szCs w:val="32"/>
          <w:lang w:val="en-US" w:eastAsia="zh-CN"/>
        </w:rPr>
        <w:t>86.6%</w:t>
      </w:r>
      <w:r>
        <w:rPr>
          <w:rFonts w:hint="eastAsia" w:ascii="Times New Roman" w:hAnsi="Times New Roman" w:eastAsia="方正仿宋简体" w:cs="方正仿宋简体"/>
          <w:b/>
          <w:bCs/>
          <w:sz w:val="32"/>
          <w:szCs w:val="32"/>
        </w:rPr>
        <w:t>，</w:t>
      </w:r>
      <w:r>
        <w:rPr>
          <w:rFonts w:hint="eastAsia" w:ascii="Times New Roman" w:hAnsi="Times New Roman" w:eastAsia="方正仿宋简体" w:cs="方正仿宋简体"/>
          <w:b/>
          <w:bCs/>
          <w:sz w:val="32"/>
          <w:szCs w:val="32"/>
          <w:lang w:eastAsia="zh-CN"/>
        </w:rPr>
        <w:t>较</w:t>
      </w:r>
      <w:r>
        <w:rPr>
          <w:rFonts w:hint="eastAsia" w:ascii="Times New Roman" w:hAnsi="Times New Roman" w:eastAsia="方正仿宋简体" w:cs="方正仿宋简体"/>
          <w:b/>
          <w:bCs/>
          <w:sz w:val="32"/>
          <w:szCs w:val="32"/>
        </w:rPr>
        <w:t>去年同期的</w:t>
      </w:r>
      <w:r>
        <w:rPr>
          <w:rFonts w:hint="eastAsia" w:ascii="Times New Roman" w:hAnsi="Times New Roman" w:eastAsia="方正仿宋简体" w:cs="方正仿宋简体"/>
          <w:b/>
          <w:bCs/>
          <w:sz w:val="32"/>
          <w:szCs w:val="32"/>
          <w:lang w:val="en-US" w:eastAsia="zh-CN"/>
        </w:rPr>
        <w:t>92.7%下降</w:t>
      </w:r>
      <w:r>
        <w:rPr>
          <w:rFonts w:hint="eastAsia" w:ascii="Times New Roman" w:hAnsi="Times New Roman" w:eastAsia="方正仿宋简体" w:cs="方正仿宋简体"/>
          <w:b/>
          <w:bCs/>
          <w:sz w:val="32"/>
          <w:szCs w:val="32"/>
        </w:rPr>
        <w:t>了</w:t>
      </w:r>
      <w:r>
        <w:rPr>
          <w:rFonts w:hint="eastAsia" w:ascii="Times New Roman" w:hAnsi="Times New Roman" w:eastAsia="方正仿宋简体" w:cs="方正仿宋简体"/>
          <w:b/>
          <w:bCs/>
          <w:sz w:val="32"/>
          <w:szCs w:val="32"/>
          <w:lang w:val="en-US" w:eastAsia="zh-CN"/>
        </w:rPr>
        <w:t>6.1</w:t>
      </w:r>
      <w:r>
        <w:rPr>
          <w:rFonts w:hint="eastAsia" w:ascii="Times New Roman" w:hAnsi="Times New Roman" w:eastAsia="方正仿宋简体" w:cs="方正仿宋简体"/>
          <w:b/>
          <w:bCs/>
          <w:sz w:val="32"/>
          <w:szCs w:val="32"/>
        </w:rPr>
        <w:t>个百分点。</w:t>
      </w:r>
    </w:p>
    <w:p w14:paraId="5218B35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488106B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无。</w:t>
      </w:r>
    </w:p>
    <w:sectPr>
      <w:pgSz w:w="11906" w:h="16838"/>
      <w:pgMar w:top="2098" w:right="1474" w:bottom="147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B3FF53D8-2967-4D4C-9174-E2EC2306194C}"/>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公文仿宋">
    <w:altName w:val="仿宋"/>
    <w:panose1 w:val="02000500000000000000"/>
    <w:charset w:val="86"/>
    <w:family w:val="auto"/>
    <w:pitch w:val="default"/>
    <w:sig w:usb0="00000000" w:usb1="00000000" w:usb2="00000016" w:usb3="00000000" w:csb0="00040001" w:csb1="00000000"/>
    <w:embedRegular r:id="rId2" w:fontKey="{CFFD89F4-46D8-48F7-8314-CE70E2621C8A}"/>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462A25"/>
    <w:multiLevelType w:val="singleLevel"/>
    <w:tmpl w:val="9E462A2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1E1599A"/>
    <w:rsid w:val="03703115"/>
    <w:rsid w:val="04F419D9"/>
    <w:rsid w:val="06DF3B7E"/>
    <w:rsid w:val="074D3623"/>
    <w:rsid w:val="09EC724C"/>
    <w:rsid w:val="0D052EAD"/>
    <w:rsid w:val="0D6D5D2C"/>
    <w:rsid w:val="10090E5D"/>
    <w:rsid w:val="103E05DD"/>
    <w:rsid w:val="12C81164"/>
    <w:rsid w:val="13CC2444"/>
    <w:rsid w:val="15D840D8"/>
    <w:rsid w:val="15D95D65"/>
    <w:rsid w:val="17852965"/>
    <w:rsid w:val="180477A4"/>
    <w:rsid w:val="19560A59"/>
    <w:rsid w:val="1C496371"/>
    <w:rsid w:val="21EA12B6"/>
    <w:rsid w:val="226F3DCC"/>
    <w:rsid w:val="26A73075"/>
    <w:rsid w:val="29400CC5"/>
    <w:rsid w:val="29D47C5C"/>
    <w:rsid w:val="2A4822AF"/>
    <w:rsid w:val="2D9F5C7A"/>
    <w:rsid w:val="2E7035CF"/>
    <w:rsid w:val="2E9C228B"/>
    <w:rsid w:val="2FDD6A97"/>
    <w:rsid w:val="33A670F3"/>
    <w:rsid w:val="35D9381B"/>
    <w:rsid w:val="35FA4023"/>
    <w:rsid w:val="373830F8"/>
    <w:rsid w:val="3F3278CF"/>
    <w:rsid w:val="3F6A64F8"/>
    <w:rsid w:val="40E1715D"/>
    <w:rsid w:val="419C0824"/>
    <w:rsid w:val="440F4D37"/>
    <w:rsid w:val="44244964"/>
    <w:rsid w:val="4C303F46"/>
    <w:rsid w:val="4D16313C"/>
    <w:rsid w:val="4DD8117F"/>
    <w:rsid w:val="50DE6667"/>
    <w:rsid w:val="565250AC"/>
    <w:rsid w:val="56C50288"/>
    <w:rsid w:val="57404164"/>
    <w:rsid w:val="59EC48C6"/>
    <w:rsid w:val="5A5650AF"/>
    <w:rsid w:val="5C83014D"/>
    <w:rsid w:val="5D75511C"/>
    <w:rsid w:val="5E145AF2"/>
    <w:rsid w:val="5F372BCB"/>
    <w:rsid w:val="5F412942"/>
    <w:rsid w:val="60785E58"/>
    <w:rsid w:val="678437B5"/>
    <w:rsid w:val="6958090C"/>
    <w:rsid w:val="6CBF5EAB"/>
    <w:rsid w:val="6CF238C8"/>
    <w:rsid w:val="70C1078D"/>
    <w:rsid w:val="72D94FAB"/>
    <w:rsid w:val="7451111C"/>
    <w:rsid w:val="75D26FF0"/>
    <w:rsid w:val="775A30EF"/>
    <w:rsid w:val="7AD16D99"/>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715</Words>
  <Characters>813</Characters>
  <Lines>5</Lines>
  <Paragraphs>1</Paragraphs>
  <TotalTime>0</TotalTime>
  <ScaleCrop>false</ScaleCrop>
  <LinksUpToDate>false</LinksUpToDate>
  <CharactersWithSpaces>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2026-08-28T00:46:16Z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783D587B87344164B15AB72F16B8A1D6_13</vt:lpwstr>
  </property>
  <property fmtid="{D5CDD505-2E9C-101B-9397-08002B2CF9AE}" pid="4" name="KSOTemplateDocerSaveRecord">
    <vt:lpwstr>eyJoZGlkIjoiYzgzZDE3YjdjMWRhMTJhYmNhNjIwMDE0ZjRiMDc0YWEiLCJ1c2VySWQiOiIzNDI0Nzc0MDgifQ==</vt:lpwstr>
  </property>
</Properties>
</file>