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B4C3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山东济宁公用房地产开发有限公司</w:t>
      </w:r>
    </w:p>
    <w:p w14:paraId="4437C0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604CC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</w:p>
    <w:p w14:paraId="0B4643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1542A3D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山东济宁公用房地产开发有限公司</w:t>
      </w:r>
    </w:p>
    <w:p w14:paraId="184F11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2.法定代表人：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张召伏</w:t>
      </w:r>
      <w:bookmarkStart w:id="0" w:name="_GoBack"/>
      <w:bookmarkEnd w:id="0"/>
    </w:p>
    <w:p w14:paraId="15193E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ascii="Times New Roman" w:hAnsi="Times New Roman" w:eastAsia="方正仿宋简体" w:cs="方正仿宋简体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济宁高新区327国道南火炬工业园内</w:t>
      </w:r>
    </w:p>
    <w:p w14:paraId="5F8F1C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房地产开发与经营（凭资质开展经营）、房屋出租。（依法须经批准的项目，经相关部门批准后开展经营活动）</w:t>
      </w:r>
    </w:p>
    <w:p w14:paraId="19CE2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5.公司简介: 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山东济宁公用房地产开发有限公司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成立于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2010年10月26日，现为山东公用置业集团有限公司权属子公司。公司成立以来，以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树立品牌形象，建设优质工程，打造诚信企业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为宗旨，坚持以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市场为导向、开发为重点、经营为龙头、质量为根本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的开发理念和经营方针，积极打造优质环保工程，走品牌化道路。</w:t>
      </w:r>
    </w:p>
    <w:p w14:paraId="17B6F5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2014年成功开发太白湖区清泉美景住宅片区，建设有多栋高层住宅建筑、公共建筑、商务和商业建筑，满足不同人群对高品质居住和商务办公环境的需求。清泉美景二期商务片区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目前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正在建设中。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该项目一期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住宅工程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曾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荣获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山东省建筑业新技术应用示范工程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山东省建筑施工安全文明小区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山东省、济宁市优质结构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运河杯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”“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沂蒙杯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等荣誉。</w:t>
      </w:r>
    </w:p>
    <w:p w14:paraId="27344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2018年8月与九巨龙房地产开发集团有限公司共同开发高新区理想城项目。</w:t>
      </w:r>
    </w:p>
    <w:p w14:paraId="39EFA9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公司致力于开发精品楼盘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、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优化济宁人居环境，致力于精心为客户提供全方位、高品质的良好服务。在经营管理中，积极探索与市场机制相适应的经营策略，坚持秉承力求创新，以国家政策为指导，充分发挥国有企业的资源优势，以市场为主导，以客户的需求和满意为目标，以质量占领市场，以服务赢得人心的经营理念，努力为济宁人民提供优雅的温馨家园。</w:t>
      </w:r>
    </w:p>
    <w:p w14:paraId="5462927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jc w:val="both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（截止到2026年6月30日）</w:t>
      </w:r>
    </w:p>
    <w:p w14:paraId="08F894C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3ACE5E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040" w:firstLineChars="22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64A6F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4054" w:type="dxa"/>
            <w:shd w:val="clear" w:color="auto" w:fill="auto"/>
            <w:vAlign w:val="top"/>
          </w:tcPr>
          <w:p w14:paraId="61DA05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7385F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仿宋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金  额</w:t>
            </w:r>
          </w:p>
        </w:tc>
      </w:tr>
      <w:tr w14:paraId="6EF30C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8CDA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5E2649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7019</w:t>
            </w:r>
          </w:p>
        </w:tc>
      </w:tr>
      <w:tr w14:paraId="3687F6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67E91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60A43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7422</w:t>
            </w:r>
          </w:p>
        </w:tc>
      </w:tr>
      <w:tr w14:paraId="16EECC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734EF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D612C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-399</w:t>
            </w:r>
          </w:p>
        </w:tc>
      </w:tr>
      <w:tr w14:paraId="5184F2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21D3B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12DFC4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-399</w:t>
            </w:r>
          </w:p>
        </w:tc>
      </w:tr>
      <w:tr w14:paraId="4E2C96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3A47F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62D98D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287310</w:t>
            </w:r>
          </w:p>
        </w:tc>
      </w:tr>
      <w:tr w14:paraId="27C21C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AC74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0A854D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185417</w:t>
            </w:r>
          </w:p>
        </w:tc>
      </w:tr>
      <w:tr w14:paraId="2DD7D5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34773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48BD73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101893</w:t>
            </w:r>
          </w:p>
        </w:tc>
      </w:tr>
    </w:tbl>
    <w:p w14:paraId="084F91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555625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2026年中期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累计实现营业收入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0.7亿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元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，完成全年预算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2.36亿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元的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29.75%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。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累计实现利润总额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-399万</w:t>
      </w:r>
      <w:r>
        <w:rPr>
          <w:rFonts w:ascii="Times New Roman" w:hAnsi="Times New Roman" w:eastAsia="方正仿宋简体" w:cs="方正仿宋简体"/>
          <w:b/>
          <w:bCs/>
          <w:sz w:val="32"/>
          <w:szCs w:val="32"/>
        </w:rPr>
        <w:t>元，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完成全年预算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0.63亿元的-6.37%。6月底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资产负债率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64.54%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，比去年同期的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66.03%，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减少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了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1.49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</w:rPr>
        <w:t>个百分点</w:t>
      </w: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eastAsia="zh-CN"/>
        </w:rPr>
        <w:t>。</w:t>
      </w:r>
    </w:p>
    <w:p w14:paraId="488106B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29C5AC0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textAlignment w:val="auto"/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方正仿宋简体"/>
          <w:b/>
          <w:bCs/>
          <w:sz w:val="32"/>
          <w:szCs w:val="32"/>
          <w:lang w:val="en-US" w:eastAsia="zh-CN"/>
        </w:rPr>
        <w:t>无。</w:t>
      </w:r>
    </w:p>
    <w:sectPr>
      <w:pgSz w:w="11906" w:h="16838"/>
      <w:pgMar w:top="2098" w:right="1474" w:bottom="1984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23F84E3"/>
    <w:multiLevelType w:val="singleLevel"/>
    <w:tmpl w:val="B23F84E3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1566233"/>
    <w:rsid w:val="04F419D9"/>
    <w:rsid w:val="06DF3B7E"/>
    <w:rsid w:val="074D3623"/>
    <w:rsid w:val="09EC724C"/>
    <w:rsid w:val="0D052EAD"/>
    <w:rsid w:val="0D6D5D2C"/>
    <w:rsid w:val="0EA2194C"/>
    <w:rsid w:val="0F704852"/>
    <w:rsid w:val="10090E5D"/>
    <w:rsid w:val="103E05DD"/>
    <w:rsid w:val="13CC2444"/>
    <w:rsid w:val="15D840D8"/>
    <w:rsid w:val="17852965"/>
    <w:rsid w:val="180477A4"/>
    <w:rsid w:val="19560A59"/>
    <w:rsid w:val="1C496371"/>
    <w:rsid w:val="1DF03E31"/>
    <w:rsid w:val="1F89616A"/>
    <w:rsid w:val="21EA12B6"/>
    <w:rsid w:val="26A73075"/>
    <w:rsid w:val="29D47C5C"/>
    <w:rsid w:val="2A4822AF"/>
    <w:rsid w:val="2D9F5C7A"/>
    <w:rsid w:val="33A670F3"/>
    <w:rsid w:val="35D9381B"/>
    <w:rsid w:val="35FA4023"/>
    <w:rsid w:val="373830F8"/>
    <w:rsid w:val="39F1086E"/>
    <w:rsid w:val="3BD20A07"/>
    <w:rsid w:val="3E0221C9"/>
    <w:rsid w:val="3F6A64F8"/>
    <w:rsid w:val="40E1715D"/>
    <w:rsid w:val="411158F0"/>
    <w:rsid w:val="419C0824"/>
    <w:rsid w:val="440F4D37"/>
    <w:rsid w:val="44244964"/>
    <w:rsid w:val="4D16313C"/>
    <w:rsid w:val="50DE6667"/>
    <w:rsid w:val="52DF1EB7"/>
    <w:rsid w:val="565250AC"/>
    <w:rsid w:val="57404164"/>
    <w:rsid w:val="59EC48C6"/>
    <w:rsid w:val="5C83014D"/>
    <w:rsid w:val="5D75511C"/>
    <w:rsid w:val="5E145AF2"/>
    <w:rsid w:val="5F372BCB"/>
    <w:rsid w:val="5F412942"/>
    <w:rsid w:val="5F5D7283"/>
    <w:rsid w:val="60785E58"/>
    <w:rsid w:val="678437B5"/>
    <w:rsid w:val="6AAB5EC4"/>
    <w:rsid w:val="6CBF5EAB"/>
    <w:rsid w:val="6CF238C8"/>
    <w:rsid w:val="70C1078D"/>
    <w:rsid w:val="72D94FAB"/>
    <w:rsid w:val="7451111C"/>
    <w:rsid w:val="75D26FF0"/>
    <w:rsid w:val="775A30EF"/>
    <w:rsid w:val="7F083539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820</Words>
  <Characters>915</Characters>
  <Lines>5</Lines>
  <Paragraphs>1</Paragraphs>
  <TotalTime>0</TotalTime>
  <ScaleCrop>false</ScaleCrop>
  <LinksUpToDate>false</LinksUpToDate>
  <CharactersWithSpaces>921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dcterms:modified xsi:type="dcterms:W3CDTF">2026-08-28T00:46:21Z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D5CC810EC721451DBB8BBC993CD39795_13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