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F64D14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山东公用达斯玛特水务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有限公司</w:t>
      </w:r>
    </w:p>
    <w:p w14:paraId="24B3F3D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jc w:val="center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202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6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年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中期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财务</w:t>
      </w:r>
      <w:r>
        <w:rPr>
          <w:rFonts w:hint="eastAsia" w:ascii="Times New Roman" w:hAnsi="Times New Roman" w:eastAsia="方正小标宋简体" w:cs="Times New Roman"/>
          <w:b/>
          <w:bCs/>
          <w:sz w:val="44"/>
          <w:szCs w:val="44"/>
          <w:lang w:val="en-US" w:eastAsia="zh-CN"/>
        </w:rPr>
        <w:t>等</w:t>
      </w:r>
      <w:r>
        <w:rPr>
          <w:rFonts w:hint="default" w:ascii="Times New Roman" w:hAnsi="Times New Roman" w:eastAsia="方正小标宋简体" w:cs="Times New Roman"/>
          <w:b/>
          <w:bCs/>
          <w:sz w:val="44"/>
          <w:szCs w:val="44"/>
        </w:rPr>
        <w:t>重大信息公开</w:t>
      </w:r>
    </w:p>
    <w:p w14:paraId="174E7F7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</w:p>
    <w:p w14:paraId="668E7B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 xml:space="preserve">一、公司基本情况 </w:t>
      </w:r>
    </w:p>
    <w:p w14:paraId="58AAEB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1.公司名称：山东公用达斯玛特水务有限公司</w:t>
      </w:r>
    </w:p>
    <w:p w14:paraId="76E2927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  <w:lang w:val="en-US" w:eastAsia="zh-CN"/>
        </w:rPr>
        <w:t>2.法定代表人：房晶</w:t>
      </w:r>
    </w:p>
    <w:p w14:paraId="72478B2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3.注册地址：金乡县胡集镇济宁新材料产业园区</w:t>
      </w:r>
    </w:p>
    <w:p w14:paraId="0AD5AD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4.经营范围：工业供水，污水处理</w:t>
      </w:r>
      <w:bookmarkStart w:id="0" w:name="_GoBack"/>
      <w:bookmarkEnd w:id="0"/>
    </w:p>
    <w:p w14:paraId="68CC6D4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5.公司简介</w:t>
      </w:r>
      <w:r>
        <w:rPr>
          <w:rFonts w:hint="eastAsia" w:ascii="Times New Roman" w:hAnsi="Times New Roman" w:eastAsia="方正仿宋简体" w:cs="Times New Roman"/>
          <w:b/>
          <w:bCs/>
          <w:sz w:val="32"/>
          <w:szCs w:val="32"/>
          <w:lang w:eastAsia="zh-CN"/>
        </w:rPr>
        <w:t>：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 xml:space="preserve"> 公司成立于2010年8月5日，地址位于金乡县胡集镇济宁新材料产业园区煤化大道路东，由山东公用水务集团有限公司、博瑞德环境集团股份有限公司、达斯玛特科技（杭州）有限公司及山东阳光颜料有限公司四家企业合资，同时是济宁新材料产业园区管委会唯一授权园区内专门从事供水、污水处理的企业。公司特许经营区域为园区的规划区域及未来发展区域，经营范围为工业供水及污水处理。</w:t>
      </w:r>
    </w:p>
    <w:p w14:paraId="0CC6086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公司供水项目设计规模近期为50000 m³/d，其中一期工程规模为25000 m³/d，原水来自北大溜河地表水，工艺采用网格絮凝+平流沉淀+V型滤池过滤+ NaClO消毒工艺，配水采用加压供水方式。</w:t>
      </w:r>
    </w:p>
    <w:p w14:paraId="7CBC0FF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textAlignment w:val="auto"/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公司污水项目设计规模近期为40000 m³/d，其中一期规模为20000 m³/d，将接纳、处理济宁新材料产业园区内所有符合纳管标准的污水，是济宁新材料产业园区唯一一个综合污水处理厂。工艺采用“水解+缺氧+曝气生物流化池+曝气池+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深度</w:t>
      </w:r>
      <w:r>
        <w:rPr>
          <w:rFonts w:hint="default" w:ascii="Times New Roman" w:hAnsi="Times New Roman" w:eastAsia="方正仿宋简体" w:cs="Times New Roman"/>
          <w:b/>
          <w:bCs/>
          <w:sz w:val="32"/>
          <w:szCs w:val="32"/>
        </w:rPr>
        <w:t>处理”，深度处理采用“混凝反应—沉淀—臭氧氧化池”工艺。园区企业污水通过一企一管的方式收集至公司集水器，经处理后的尾水稳定达到《城镇污水处理厂污染物排放标准》（GB18918-2002）中一级A标准，排入园区人工湿地进一步降解后，再排入新万福河。</w:t>
      </w:r>
    </w:p>
    <w:p w14:paraId="362781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3" w:firstLineChars="200"/>
        <w:jc w:val="left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</w:rPr>
        <w:t>二、主要会计数据和财务指标</w:t>
      </w:r>
      <w:r>
        <w:rPr>
          <w:rFonts w:hint="eastAsia" w:ascii="Times New Roman" w:hAnsi="Times New Roman" w:eastAsia="方正黑体简体" w:cs="Times New Roman"/>
          <w:b w:val="0"/>
          <w:bCs w:val="0"/>
          <w:sz w:val="28"/>
          <w:szCs w:val="28"/>
          <w:lang w:val="en-US" w:eastAsia="zh-CN"/>
        </w:rPr>
        <w:t>（截至到2026年6月30日）</w:t>
      </w:r>
    </w:p>
    <w:p w14:paraId="5288948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 w:val="0"/>
        <w:spacing w:line="600" w:lineRule="exact"/>
        <w:ind w:firstLine="640" w:firstLineChars="200"/>
        <w:jc w:val="center"/>
        <w:textAlignment w:val="auto"/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黑体简体" w:cs="Times New Roman"/>
          <w:b w:val="0"/>
          <w:bCs w:val="0"/>
          <w:sz w:val="32"/>
          <w:szCs w:val="32"/>
          <w:lang w:val="en-US" w:eastAsia="zh-CN"/>
        </w:rPr>
        <w:t>2026年中期主要财务数据</w:t>
      </w:r>
    </w:p>
    <w:p w14:paraId="6672587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600" w:lineRule="exact"/>
        <w:ind w:firstLine="7360" w:firstLineChars="2300"/>
        <w:textAlignment w:val="auto"/>
        <w:rPr>
          <w:rFonts w:hint="default" w:ascii="Times New Roman" w:hAnsi="Times New Roman" w:eastAsia="方正黑体简体" w:cs="Times New Roman"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sz w:val="32"/>
          <w:szCs w:val="32"/>
        </w:rPr>
        <w:t>单位：万元</w:t>
      </w:r>
    </w:p>
    <w:tbl>
      <w:tblPr>
        <w:tblStyle w:val="9"/>
        <w:tblW w:w="8873" w:type="dxa"/>
        <w:tblInd w:w="35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054"/>
        <w:gridCol w:w="4819"/>
      </w:tblGrid>
      <w:tr w14:paraId="032245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  <w:vAlign w:val="top"/>
          </w:tcPr>
          <w:p w14:paraId="6BE291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方正仿宋简体" w:hAnsi="方正仿宋简体" w:eastAsia="方正仿宋简体" w:cs="方正仿宋简体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方正黑体简体" w:hAnsi="方正黑体简体" w:eastAsia="方正黑体简体" w:cs="方正黑体简体"/>
                <w:b/>
                <w:bCs/>
                <w:sz w:val="32"/>
                <w:szCs w:val="32"/>
                <w:lang w:val="en-US" w:eastAsia="zh-CN"/>
              </w:rPr>
              <w:t>项  目</w:t>
            </w:r>
          </w:p>
        </w:tc>
        <w:tc>
          <w:tcPr>
            <w:tcW w:w="4819" w:type="dxa"/>
            <w:vAlign w:val="center"/>
          </w:tcPr>
          <w:p w14:paraId="5C0FF8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Times New Roman" w:hAnsi="Times New Roman" w:eastAsia="方正黑体简体" w:cs="Times New Roman"/>
                <w:b/>
                <w:bCs/>
                <w:kern w:val="2"/>
                <w:sz w:val="32"/>
                <w:szCs w:val="32"/>
                <w:lang w:val="en-US" w:eastAsia="zh-CN" w:bidi="ar-SA"/>
              </w:rPr>
              <w:t>金  额</w:t>
            </w:r>
          </w:p>
        </w:tc>
      </w:tr>
      <w:tr w14:paraId="0C3112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0DAB02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营业总收入</w:t>
            </w:r>
          </w:p>
        </w:tc>
        <w:tc>
          <w:tcPr>
            <w:tcW w:w="4819" w:type="dxa"/>
            <w:vAlign w:val="center"/>
          </w:tcPr>
          <w:p w14:paraId="204DFC7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1041</w:t>
            </w:r>
          </w:p>
        </w:tc>
      </w:tr>
      <w:tr w14:paraId="7F7E43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A44FFE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营业总成本</w:t>
            </w:r>
          </w:p>
        </w:tc>
        <w:tc>
          <w:tcPr>
            <w:tcW w:w="4819" w:type="dxa"/>
            <w:vAlign w:val="center"/>
          </w:tcPr>
          <w:p w14:paraId="02FAD0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829</w:t>
            </w:r>
          </w:p>
        </w:tc>
      </w:tr>
      <w:tr w14:paraId="1E6468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5EDCAC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利润总额</w:t>
            </w:r>
          </w:p>
        </w:tc>
        <w:tc>
          <w:tcPr>
            <w:tcW w:w="4819" w:type="dxa"/>
            <w:vAlign w:val="center"/>
          </w:tcPr>
          <w:p w14:paraId="295D0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189</w:t>
            </w:r>
          </w:p>
        </w:tc>
      </w:tr>
      <w:tr w14:paraId="5186F1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AE5CC5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净利润</w:t>
            </w:r>
          </w:p>
        </w:tc>
        <w:tc>
          <w:tcPr>
            <w:tcW w:w="4819" w:type="dxa"/>
            <w:vAlign w:val="center"/>
          </w:tcPr>
          <w:p w14:paraId="3434963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142</w:t>
            </w:r>
          </w:p>
        </w:tc>
      </w:tr>
      <w:tr w14:paraId="005C55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4BB4C2B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资产总额</w:t>
            </w:r>
          </w:p>
        </w:tc>
        <w:tc>
          <w:tcPr>
            <w:tcW w:w="4819" w:type="dxa"/>
            <w:vAlign w:val="center"/>
          </w:tcPr>
          <w:p w14:paraId="348CBC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15732</w:t>
            </w:r>
          </w:p>
        </w:tc>
      </w:tr>
      <w:tr w14:paraId="640B48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2E93AE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负债总额</w:t>
            </w:r>
          </w:p>
        </w:tc>
        <w:tc>
          <w:tcPr>
            <w:tcW w:w="4819" w:type="dxa"/>
            <w:vAlign w:val="center"/>
          </w:tcPr>
          <w:p w14:paraId="4E28B6D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7015</w:t>
            </w:r>
          </w:p>
        </w:tc>
      </w:tr>
      <w:tr w14:paraId="02FD44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4054" w:type="dxa"/>
          </w:tcPr>
          <w:p w14:paraId="5870BB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</w:pPr>
            <w:r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</w:rPr>
              <w:t>所有者权益</w:t>
            </w:r>
          </w:p>
        </w:tc>
        <w:tc>
          <w:tcPr>
            <w:tcW w:w="4819" w:type="dxa"/>
            <w:vAlign w:val="center"/>
          </w:tcPr>
          <w:p w14:paraId="2342C0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pacing w:line="600" w:lineRule="exact"/>
              <w:jc w:val="center"/>
              <w:textAlignment w:val="auto"/>
              <w:rPr>
                <w:rFonts w:hint="default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Times New Roman" w:hAnsi="Times New Roman" w:eastAsia="方正仿宋简体" w:cs="Times New Roman"/>
                <w:b/>
                <w:bCs/>
                <w:sz w:val="32"/>
                <w:szCs w:val="32"/>
                <w:lang w:val="en-US" w:eastAsia="zh-CN"/>
              </w:rPr>
              <w:t>8717</w:t>
            </w:r>
          </w:p>
        </w:tc>
      </w:tr>
    </w:tbl>
    <w:p w14:paraId="5587A2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三、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2026年中期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财务预算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执行情况</w:t>
      </w:r>
    </w:p>
    <w:p w14:paraId="4EBD6B69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1.</w:t>
      </w:r>
      <w:r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32"/>
          <w:lang w:val="en-US" w:eastAsia="zh-CN" w:bidi="ar"/>
        </w:rPr>
        <w:t>营业收入：本年预算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2100</w:t>
      </w:r>
      <w:r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32"/>
          <w:lang w:val="en-US" w:eastAsia="zh-CN" w:bidi="ar"/>
        </w:rPr>
        <w:t>万元，截止到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32"/>
          <w:lang w:val="en-US" w:eastAsia="zh-CN" w:bidi="ar"/>
        </w:rPr>
        <w:t>年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6月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0</w:t>
      </w:r>
      <w:r>
        <w:rPr>
          <w:rFonts w:hint="eastAsia" w:ascii="方正仿宋简体" w:hAnsi="方正仿宋简体" w:eastAsia="方正仿宋简体" w:cs="方正仿宋简体"/>
          <w:b/>
          <w:bCs/>
          <w:kern w:val="2"/>
          <w:sz w:val="32"/>
          <w:szCs w:val="32"/>
          <w:lang w:val="en-US" w:eastAsia="zh-CN" w:bidi="ar"/>
        </w:rPr>
        <w:t>日，完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成49.57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%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。</w:t>
      </w:r>
    </w:p>
    <w:p w14:paraId="03EC2B17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2.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利润总额：本年预算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313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万元，截止到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2026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年6月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3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0日，完成60.38</w:t>
      </w:r>
      <w:r>
        <w:rPr>
          <w:rFonts w:hint="default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%</w:t>
      </w: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。</w:t>
      </w:r>
    </w:p>
    <w:p w14:paraId="31E5B62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ind w:firstLine="643" w:firstLineChars="200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</w:pP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四、</w:t>
      </w:r>
      <w:r>
        <w:rPr>
          <w:rFonts w:hint="eastAsia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  <w:t>中期</w:t>
      </w:r>
      <w:r>
        <w:rPr>
          <w:rFonts w:hint="default" w:ascii="Times New Roman" w:hAnsi="Times New Roman" w:eastAsia="方正黑体简体" w:cs="Times New Roman"/>
          <w:b/>
          <w:bCs/>
          <w:sz w:val="32"/>
          <w:szCs w:val="32"/>
        </w:rPr>
        <w:t>内重大事项及对企业的影响</w:t>
      </w:r>
    </w:p>
    <w:p w14:paraId="0B67E5FD">
      <w:pPr>
        <w:keepNext w:val="0"/>
        <w:keepLines w:val="0"/>
        <w:pageBreakBefore w:val="0"/>
        <w:widowControl w:val="0"/>
        <w:suppressLineNumbers w:val="0"/>
        <w:kinsoku/>
        <w:wordWrap/>
        <w:overflowPunct/>
        <w:topLinePunct w:val="0"/>
        <w:autoSpaceDE w:val="0"/>
        <w:autoSpaceDN/>
        <w:bidi w:val="0"/>
        <w:adjustRightInd/>
        <w:snapToGrid w:val="0"/>
        <w:spacing w:before="0" w:beforeAutospacing="0" w:after="0" w:afterAutospacing="0" w:line="600" w:lineRule="exact"/>
        <w:ind w:left="0" w:right="0" w:firstLine="643" w:firstLineChars="200"/>
        <w:jc w:val="both"/>
        <w:textAlignment w:val="auto"/>
        <w:rPr>
          <w:rFonts w:hint="default" w:ascii="Times New Roman" w:hAnsi="Times New Roman" w:eastAsia="方正黑体简体" w:cs="Times New Roman"/>
          <w:b/>
          <w:bCs/>
          <w:sz w:val="32"/>
          <w:szCs w:val="32"/>
          <w:lang w:val="en-US" w:eastAsia="zh-CN"/>
        </w:rPr>
      </w:pPr>
      <w:r>
        <w:rPr>
          <w:rFonts w:hint="eastAsia" w:ascii="Times New Roman" w:hAnsi="Times New Roman" w:eastAsia="方正仿宋简体" w:cs="Times New Roman"/>
          <w:b/>
          <w:bCs/>
          <w:kern w:val="2"/>
          <w:sz w:val="32"/>
          <w:szCs w:val="32"/>
          <w:lang w:val="en-US" w:eastAsia="zh-CN" w:bidi="ar"/>
        </w:rPr>
        <w:t>无。</w:t>
      </w:r>
    </w:p>
    <w:sectPr>
      <w:pgSz w:w="11906" w:h="16838"/>
      <w:pgMar w:top="1701" w:right="1474" w:bottom="1247" w:left="158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仿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方正黑体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DZlZWY1MTZiMTkyZjJiYmE4ZmY2NmQ4YzIyODA0ODMifQ=="/>
  </w:docVars>
  <w:rsids>
    <w:rsidRoot w:val="13CC2444"/>
    <w:rsid w:val="001410B8"/>
    <w:rsid w:val="00332EF0"/>
    <w:rsid w:val="003F77BE"/>
    <w:rsid w:val="007E3428"/>
    <w:rsid w:val="007E5379"/>
    <w:rsid w:val="00AC6AB4"/>
    <w:rsid w:val="00BC3130"/>
    <w:rsid w:val="00C455E3"/>
    <w:rsid w:val="00C65B77"/>
    <w:rsid w:val="00D321DA"/>
    <w:rsid w:val="00EA422D"/>
    <w:rsid w:val="00FC157F"/>
    <w:rsid w:val="04F419D9"/>
    <w:rsid w:val="06DF3B7E"/>
    <w:rsid w:val="074D3623"/>
    <w:rsid w:val="09EC724C"/>
    <w:rsid w:val="0D052EAD"/>
    <w:rsid w:val="0D6D5D2C"/>
    <w:rsid w:val="0E7C659C"/>
    <w:rsid w:val="100C76BD"/>
    <w:rsid w:val="103E05DD"/>
    <w:rsid w:val="120671E0"/>
    <w:rsid w:val="13CC2444"/>
    <w:rsid w:val="14342E34"/>
    <w:rsid w:val="15D840D8"/>
    <w:rsid w:val="17852965"/>
    <w:rsid w:val="180477A4"/>
    <w:rsid w:val="19560A59"/>
    <w:rsid w:val="1C496371"/>
    <w:rsid w:val="21EA12B6"/>
    <w:rsid w:val="27EB71B0"/>
    <w:rsid w:val="27F17408"/>
    <w:rsid w:val="28655006"/>
    <w:rsid w:val="29D47C5C"/>
    <w:rsid w:val="2A4822AF"/>
    <w:rsid w:val="2CC611F5"/>
    <w:rsid w:val="2D9F5C7A"/>
    <w:rsid w:val="328F0F29"/>
    <w:rsid w:val="33592DD4"/>
    <w:rsid w:val="33A670F3"/>
    <w:rsid w:val="35D9381B"/>
    <w:rsid w:val="35FA4023"/>
    <w:rsid w:val="373830F8"/>
    <w:rsid w:val="3E8135D7"/>
    <w:rsid w:val="3F6A64F8"/>
    <w:rsid w:val="3FCF1C0D"/>
    <w:rsid w:val="40E1715D"/>
    <w:rsid w:val="419C0824"/>
    <w:rsid w:val="43343527"/>
    <w:rsid w:val="44244964"/>
    <w:rsid w:val="474D4154"/>
    <w:rsid w:val="4D16313C"/>
    <w:rsid w:val="4DBD34F9"/>
    <w:rsid w:val="50DE6667"/>
    <w:rsid w:val="57404164"/>
    <w:rsid w:val="59EC48C6"/>
    <w:rsid w:val="5C83014D"/>
    <w:rsid w:val="5D75511C"/>
    <w:rsid w:val="5E145AF2"/>
    <w:rsid w:val="5F372BCB"/>
    <w:rsid w:val="5F412942"/>
    <w:rsid w:val="5F9413A5"/>
    <w:rsid w:val="60785E58"/>
    <w:rsid w:val="634A7203"/>
    <w:rsid w:val="678437B5"/>
    <w:rsid w:val="691F7976"/>
    <w:rsid w:val="6CF238C8"/>
    <w:rsid w:val="70C1078D"/>
    <w:rsid w:val="72096494"/>
    <w:rsid w:val="72D94FAB"/>
    <w:rsid w:val="7451111C"/>
    <w:rsid w:val="75D26FF0"/>
    <w:rsid w:val="775A30EF"/>
    <w:rsid w:val="792938E6"/>
    <w:rsid w:val="7A7D749A"/>
    <w:rsid w:val="7E9975A5"/>
    <w:rsid w:val="7FC25A17"/>
    <w:rsid w:val="7FC82E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</w:style>
  <w:style w:type="paragraph" w:styleId="3">
    <w:name w:val="Body Text Indent"/>
    <w:basedOn w:val="1"/>
    <w:unhideWhenUsed/>
    <w:qFormat/>
    <w:uiPriority w:val="99"/>
    <w:pPr>
      <w:ind w:left="420" w:leftChars="200"/>
    </w:pPr>
  </w:style>
  <w:style w:type="paragraph" w:styleId="4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"/>
    <w:basedOn w:val="2"/>
    <w:qFormat/>
    <w:uiPriority w:val="0"/>
    <w:pPr>
      <w:ind w:firstLine="420" w:firstLineChars="100"/>
    </w:pPr>
  </w:style>
  <w:style w:type="paragraph" w:styleId="7">
    <w:name w:val="Body Text First Indent 2"/>
    <w:basedOn w:val="3"/>
    <w:next w:val="6"/>
    <w:qFormat/>
    <w:uiPriority w:val="99"/>
    <w:pPr>
      <w:ind w:firstLine="420" w:firstLineChars="200"/>
    </w:p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11">
    <w:name w:val="页眉 字符"/>
    <w:basedOn w:val="10"/>
    <w:link w:val="5"/>
    <w:qFormat/>
    <w:uiPriority w:val="0"/>
    <w:rPr>
      <w:kern w:val="2"/>
      <w:sz w:val="18"/>
      <w:szCs w:val="18"/>
    </w:rPr>
  </w:style>
  <w:style w:type="character" w:customStyle="1" w:styleId="12">
    <w:name w:val="页脚 字符"/>
    <w:basedOn w:val="10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b7399695-a0ae-47e9-bff6-0df765e66535</errorID>
      <errorWord>:</errorWord>
      <group>L1_Format</group>
      <groupName>格式问题</groupName>
      <ability>L2_HalfPunc_CN</ability>
      <abilityName>全半角问题</abilityName>
      <candidateList>
        <item>：</item>
      </candidateList>
      <explain>文本全半角错误。</explain>
      <paraID> 366AFCB</paraID>
      <start>6</start>
      <end>7</end>
      <status>modified</status>
      <modifiedWord>：</modifiedWord>
      <trackRevisions>false</trackRevisions>
    </reviewItem>
    <reviewItem>
      <errorID>ab9118c7-cf3f-43e1-9611-3984f5c5b04d</errorID>
      <errorWord>截至到2026年</errorWord>
      <group>L1_Word</group>
      <groupName>字词问题</groupName>
      <ability>L2_Typo</ability>
      <abilityName>字词错误</abilityName>
      <candidateList>
        <item>截至2026年</item>
      </candidateList>
      <explain/>
      <paraID>54629271</paraID>
      <start>14</start>
      <end>22</end>
      <status>ignored</status>
      <modifiedWord/>
      <trackRevisions>false</trackRevisions>
    </reviewItem>
    <reviewItem>
      <errorID>7921a279-bf1c-42e6-a1b6-87a12e048fed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6B8A7949</paraID>
      <start>18</start>
      <end>21</end>
      <status>ignored</status>
      <modifiedWord/>
      <trackRevisions>false</trackRevisions>
    </reviewItem>
    <reviewItem>
      <errorID>158e614f-39c9-4fde-9af5-2c57b01efad0</errorID>
      <errorWord>截止到</errorWord>
      <group>L1_Grammar</group>
      <groupName>语法问题</groupName>
      <ability>L2_Grammar</ability>
      <abilityName>语法错误</abilityName>
      <candidateList>
        <item>截止</item>
      </candidateList>
      <explain>该表达中的“截止到”存在语义重复。【词汇解析】截止：到……为止,有明确的终止、结束含义。包含了“到”的意思。</explain>
      <paraID>48488805</paraID>
      <start>17</start>
      <end>20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ff9594fa-8192-42e9-88ed-c5adfc3d8b6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737</Words>
  <Characters>846</Characters>
  <Lines>1</Lines>
  <Paragraphs>1</Paragraphs>
  <TotalTime>1</TotalTime>
  <ScaleCrop>false</ScaleCrop>
  <LinksUpToDate>false</LinksUpToDate>
  <CharactersWithSpaces>857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2022-06-30T02:09:00Z</dcterms:created>
  <dc:creator>Mr.X</dc:creator>
  <cp:lastModifiedBy>王海鹏</cp:lastModifiedBy>
  <cp:lastPrinted>2026-08-20T07:15:00Z</cp:lastPrinted>
  <dcterms:modified xsi:type="dcterms:W3CDTF">2026-08-28T00:41:21Z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354836EE48624F9BB340840324073AB0_13</vt:lpwstr>
  </property>
  <property fmtid="{D5CDD505-2E9C-101B-9397-08002B2CF9AE}" pid="4" name="KSOTemplateDocerSaveRecord">
    <vt:lpwstr>eyJoZGlkIjoiYzgzZDE3YjdjMWRhMTJhYmNhNjIwMDE0ZjRiMDc0YWEiLCJ1c2VySWQiOiIzNDI0Nzc0MDgifQ==</vt:lpwstr>
  </property>
</Properties>
</file>