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工程质量检测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公开</w:t>
      </w: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公司名称：山东公用工程质量检测有限公司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型：有限责任公司(非自然人投资或控股的法人独资)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法定代表人：韩月珍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注册资金：伍佰万元整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注册地址：济宁市顺河门外街78号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：许可项目：水利工程质量检测；检验检测服务；建设工程质量检测；室内环境检测；安全评价业务；安全生产检验检测。(依法须经批准的项目，经相关部门批准后方可开展经营活动，具体经营项目以相关部门批准文件或许可证件为准)。一般项目：公路水运工程试验检测服务；技术服务、技术开发、技术咨询、技术交流、技术转让、技术推广；劳务服务（不含劳务派遣）。(依法须经批准的项目外，凭营业执照依法自主开展经营活动)。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山东公用工程质量检测有限公司，前身为济宁市水利工程质量检测中心，于2003 年7月由济宁市水利局批复成立。现拥有《资质认定计量认证证书》93个项目811个参数的检验检测资质。取得水利部颁发检测单位混凝土甲级资质证书，山东省水利厅颁发检测单位岩土工程、量测工程、金属结构工程、机械电气工程四项乙级资质证书，中国水利工程协会颁发全国水利建设市场主体AAA 级企业信用等级证书，可以承担大中小型水利工程类5大类别的检测工作。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近年来先后承担了堤防工程、河道治理、饮水安全、高标准农田等涉及桥、涵、闸、坝等水利工程的第三方检测工作，从工程原材料、中间产品到工程整体，依据有关规范、标准及设计文件，全过程、全方位检测，检测手段严谨完整，检测数据准确可靠，得到了省、市、县各级领导及专家的首肯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2025年度主要财务数据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10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731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450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1679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265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1414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1151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财务预算执行情况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2025年度，公司实现营业总收入731万元，完成年度预算的100.00 %；实现利润总额 281万元，完成年度预算的100.00 %；实现净利润 265万元，完成年度预算的100 .00%。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787" w:firstLineChars="245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四、财务会计报告和审计报告摘要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eastAsia="zh-CN"/>
        </w:rPr>
        <w:t>审计意见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和信会计事务所（特殊普通伙伴）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审计了山东公用工程质量检测有限公司财务报表，包括202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年12月31日的资产负债表，202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年度的利润表、现金流量表、所有者权益变动表以及相关财务报表附注。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事务所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认为，后附的财务报表在所有重大方面按照企业会计准则的规定编制，公允反映了公司202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年12月31日的财务状况以及202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年度的经营成果和现金流量。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val="en-US" w:eastAsia="zh-CN"/>
        </w:rPr>
        <w:t>（二）形成审计意见的基</w:t>
      </w:r>
      <w:r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eastAsia="zh-CN"/>
        </w:rPr>
        <w:t>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事务所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按照中国注册会计师审计准则的规定执行了审计工作。审计报告的“注册会计师对财务报表审计的责任”部分进一步阐述了在这些谁则下的责任。按照中国注册会计师职业道德守则，并履行了职业道德方面的其他责任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val="en-US" w:eastAsia="zh-CN"/>
        </w:rPr>
        <w:t>事务所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相信，获取的审计证据是充分、适当的，为发表审计意见提供了基础。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val="en-US" w:eastAsia="zh-CN"/>
        </w:rPr>
        <w:t>（三）管理</w:t>
      </w:r>
      <w:r>
        <w:rPr>
          <w:rFonts w:hint="default" w:ascii="Times New Roman" w:hAnsi="Times New Roman" w:eastAsia="方正楷体简体" w:cs="Times New Roman"/>
          <w:b/>
          <w:bCs/>
          <w:color w:val="000000"/>
          <w:kern w:val="44"/>
          <w:sz w:val="32"/>
          <w:szCs w:val="32"/>
          <w:lang w:eastAsia="zh-CN"/>
        </w:rPr>
        <w:t>层和治理层对财务报表的责任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公司管理层（以下简称管理层）负责按照企业会计准则的规定编制财务报表，使其实现公允反映，并设计、执行和维护必要的内部控制，以使财务报表不存在由于舞弊或错误导致的重大错报。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在编制财务报表时，管理层负责评估的持续经营能力，披露与持续经营相关的事项，并运用持续经营假设，除非管理层计划清算公司、终止运营或别无其他现实的选择。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44"/>
          <w:sz w:val="32"/>
          <w:szCs w:val="32"/>
          <w:lang w:eastAsia="zh-CN"/>
        </w:rPr>
        <w:t>公司治理层负责监督公司的财务报告过程。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787" w:firstLineChars="245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五、经理会报告摘要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 w:bidi="zh-CN"/>
        </w:rPr>
        <w:t>（一）完成年度经济指标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</w:rPr>
        <w:t>本年度营业收入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731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万元；利润总额：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281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万元；全年签订合同额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659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 w:bidi="zh-CN"/>
        </w:rPr>
        <w:t>（二）按时完成重点工作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2025年，锚定年初确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定的目标任务，强化工作措施，狠抓工作落实，重点工作任务按时间节点基本完成。一是基本完成集团制定的各项经营指标。二是</w:t>
      </w:r>
      <w:r>
        <w:rPr>
          <w:rStyle w:val="17"/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深入学习贯彻党的四中全会精神，严格落实"第一议题”学习制度，坚持以上率下、以点带面，教育引导广大党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员干部以党的创新理论武装头脑、指导实践、推进工作。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认真落实“三会一课”、主题党日、组织生活会、民主评议党员等制度，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通过“灯塔-党建在线”、“学习强国”等平台，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持续深入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学习习近平总书记最新发表的重要讲话、重要文章和作出的重要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指示批示，学习习近平新时代中国特色社会主义思想。三是大力开拓济宁市外检测市场。先后中标了寒亭区农村供水管网提升改造项目（一期）检测2标、潍坊市虞河下游段防洪治理工程（寒亭段）等市外项目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四是加强企业资质维护，顺利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水利工程质量检测单位机械电气专业资质延续工作。五是扎实推进检测标准规范更新与仪器设备升级工作。紧盯水利行业技术发展前沿，针新发布行业标准，组织全员开展专题培训与解读，修订内部检测流程，确保检测工作全流程合规。投入资金完成检测仪器更新，对仪器进行升级校准，夯实检测技术基础。</w:t>
      </w:r>
      <w:r>
        <w:rPr>
          <w:rStyle w:val="17"/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六扎实做好安全生产工作。聚焦水利工程检测行业特性，以“零事故”为核心目标，全面压实安全生产责任制。落实集团公司晨会、专题会议制度，开展消防应急演练、安全生产月活动，进行形式多样、内容丰富的安全宣讲，向职工普及安全知识，提升职工安全素质和应急能力。完善安全管理制度体系，针对性开展涉水作业、高空检测、设备操作等专项培训；组织应急演练，提升突发情况处置能力。加强隐患排查，严格整改措施落实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七是取得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质量管理、环境管理、职业健康安全认证三体系认证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证书。八是2名职工顺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利通过监理工程师考试；1人晋升高级工程师，1人晋升工程师；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在中国水利工程协会举办的全国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水利工程优秀质量管理小组成果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竞赛中，获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III类成果奖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年济宁市“技能状元”职业技能大赛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中，获得二等奖1项；在安全生产管理人员“讲生产、话安全”专题宣讲比赛中荣获一等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奖1项。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  <w:t>度内重大事项及对企业的影响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无。</w:t>
      </w:r>
    </w:p>
    <w:sectPr>
      <w:pgSz w:w="11906" w:h="16838"/>
      <w:pgMar w:top="1984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85D9001-52AC-4A87-8058-AC709C8931C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88CA9C-783D-4C37-B13E-E9207398369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5FA63D-636F-47FB-872A-0B9D06D1F88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AAEFC6E-790C-4238-A1F3-DC78375B5C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E3F88D"/>
    <w:multiLevelType w:val="singleLevel"/>
    <w:tmpl w:val="41E3F88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NTlkMmJlMmUxZDUwYzA1MDA0NzA2NGFhN2RiMWUifQ=="/>
  </w:docVars>
  <w:rsids>
    <w:rsidRoot w:val="00AB01EA"/>
    <w:rsid w:val="00015A87"/>
    <w:rsid w:val="000168AA"/>
    <w:rsid w:val="00151E71"/>
    <w:rsid w:val="002135C1"/>
    <w:rsid w:val="00271CDE"/>
    <w:rsid w:val="00300466"/>
    <w:rsid w:val="003152D1"/>
    <w:rsid w:val="004055A1"/>
    <w:rsid w:val="00474979"/>
    <w:rsid w:val="004D1F6D"/>
    <w:rsid w:val="005571EB"/>
    <w:rsid w:val="005A15E0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A74B2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7327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487061"/>
    <w:rsid w:val="021C3C61"/>
    <w:rsid w:val="02825959"/>
    <w:rsid w:val="03D03354"/>
    <w:rsid w:val="044270BA"/>
    <w:rsid w:val="055078CE"/>
    <w:rsid w:val="05C55124"/>
    <w:rsid w:val="061836AD"/>
    <w:rsid w:val="067740B1"/>
    <w:rsid w:val="0737077A"/>
    <w:rsid w:val="089167F8"/>
    <w:rsid w:val="0A786C09"/>
    <w:rsid w:val="0C1300BA"/>
    <w:rsid w:val="0CB535C8"/>
    <w:rsid w:val="0D67317F"/>
    <w:rsid w:val="0E724EA7"/>
    <w:rsid w:val="0FC65D20"/>
    <w:rsid w:val="102B2027"/>
    <w:rsid w:val="108A32E1"/>
    <w:rsid w:val="114333A1"/>
    <w:rsid w:val="11D529E3"/>
    <w:rsid w:val="121E34DC"/>
    <w:rsid w:val="13737F6D"/>
    <w:rsid w:val="165B4F55"/>
    <w:rsid w:val="179B1650"/>
    <w:rsid w:val="199614ED"/>
    <w:rsid w:val="1A4E703E"/>
    <w:rsid w:val="1B9C202B"/>
    <w:rsid w:val="1F2A01E7"/>
    <w:rsid w:val="208262A6"/>
    <w:rsid w:val="20AA7F33"/>
    <w:rsid w:val="223D5374"/>
    <w:rsid w:val="2283036C"/>
    <w:rsid w:val="229663C3"/>
    <w:rsid w:val="238B6554"/>
    <w:rsid w:val="24EC6280"/>
    <w:rsid w:val="269F64C8"/>
    <w:rsid w:val="26E66C6F"/>
    <w:rsid w:val="27ED0BE4"/>
    <w:rsid w:val="29734F00"/>
    <w:rsid w:val="2A4D54F1"/>
    <w:rsid w:val="2C106849"/>
    <w:rsid w:val="2E9539DE"/>
    <w:rsid w:val="302C7B9D"/>
    <w:rsid w:val="30BA2157"/>
    <w:rsid w:val="30FC114A"/>
    <w:rsid w:val="3110357A"/>
    <w:rsid w:val="32957AA8"/>
    <w:rsid w:val="32DA0AFB"/>
    <w:rsid w:val="35CC7684"/>
    <w:rsid w:val="35FE7713"/>
    <w:rsid w:val="367F4CF7"/>
    <w:rsid w:val="3962030E"/>
    <w:rsid w:val="3A6371B9"/>
    <w:rsid w:val="3B070E17"/>
    <w:rsid w:val="3B625A3F"/>
    <w:rsid w:val="3EB218E1"/>
    <w:rsid w:val="3F812F19"/>
    <w:rsid w:val="40BD03D8"/>
    <w:rsid w:val="40F75DCA"/>
    <w:rsid w:val="41A858AC"/>
    <w:rsid w:val="42507548"/>
    <w:rsid w:val="427A45C5"/>
    <w:rsid w:val="436F6D64"/>
    <w:rsid w:val="443022D9"/>
    <w:rsid w:val="46625A9C"/>
    <w:rsid w:val="487F0B87"/>
    <w:rsid w:val="49F70BF1"/>
    <w:rsid w:val="4A301C85"/>
    <w:rsid w:val="4B92472D"/>
    <w:rsid w:val="4E8E2B40"/>
    <w:rsid w:val="4E926107"/>
    <w:rsid w:val="50A218B6"/>
    <w:rsid w:val="50F3226B"/>
    <w:rsid w:val="513B4AB3"/>
    <w:rsid w:val="530103EA"/>
    <w:rsid w:val="547A0454"/>
    <w:rsid w:val="54CA13DC"/>
    <w:rsid w:val="54E11FC0"/>
    <w:rsid w:val="563D6669"/>
    <w:rsid w:val="57F77222"/>
    <w:rsid w:val="591879C6"/>
    <w:rsid w:val="59CD1026"/>
    <w:rsid w:val="5AA27F48"/>
    <w:rsid w:val="5B0B47CD"/>
    <w:rsid w:val="5B2849ED"/>
    <w:rsid w:val="5D0E5BDE"/>
    <w:rsid w:val="5D195C77"/>
    <w:rsid w:val="5E020126"/>
    <w:rsid w:val="5FA7504C"/>
    <w:rsid w:val="60402552"/>
    <w:rsid w:val="60936B26"/>
    <w:rsid w:val="60AA20C1"/>
    <w:rsid w:val="61377DF9"/>
    <w:rsid w:val="620677CB"/>
    <w:rsid w:val="627264C6"/>
    <w:rsid w:val="646B48B3"/>
    <w:rsid w:val="65626DAD"/>
    <w:rsid w:val="6631536B"/>
    <w:rsid w:val="66BB610C"/>
    <w:rsid w:val="66D734E4"/>
    <w:rsid w:val="670C7632"/>
    <w:rsid w:val="679118E5"/>
    <w:rsid w:val="67C52FC9"/>
    <w:rsid w:val="68420E31"/>
    <w:rsid w:val="69B626EC"/>
    <w:rsid w:val="6A371A98"/>
    <w:rsid w:val="6A935974"/>
    <w:rsid w:val="6AB976A5"/>
    <w:rsid w:val="6B403A1C"/>
    <w:rsid w:val="6BB34661"/>
    <w:rsid w:val="6C092CCF"/>
    <w:rsid w:val="6D853C9A"/>
    <w:rsid w:val="6E044080"/>
    <w:rsid w:val="6E0A419F"/>
    <w:rsid w:val="6EE82732"/>
    <w:rsid w:val="6F0926A9"/>
    <w:rsid w:val="708C6878"/>
    <w:rsid w:val="70B30B1E"/>
    <w:rsid w:val="721E46BD"/>
    <w:rsid w:val="76323B4E"/>
    <w:rsid w:val="76D32478"/>
    <w:rsid w:val="7D034BDB"/>
    <w:rsid w:val="7EEF6683"/>
    <w:rsid w:val="7FD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000"/>
      <w:outlineLvl w:val="0"/>
    </w:pPr>
    <w:rPr>
      <w:rFonts w:ascii="Microsoft JhengHei" w:hAnsi="Microsoft JhengHei" w:eastAsia="Microsoft JhengHei" w:cs="Microsoft JhengHei"/>
      <w:b/>
      <w:bCs/>
      <w:sz w:val="30"/>
      <w:szCs w:val="30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sz w:val="21"/>
    </w:r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4"/>
    <w:link w:val="13"/>
    <w:qFormat/>
    <w:uiPriority w:val="1"/>
    <w:rPr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字符"/>
    <w:basedOn w:val="11"/>
    <w:link w:val="5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4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5">
    <w:name w:val="页眉 字符"/>
    <w:basedOn w:val="11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apple-style-span"/>
    <w:basedOn w:val="11"/>
    <w:qFormat/>
    <w:uiPriority w:val="0"/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2223</Words>
  <Characters>2320</Characters>
  <Lines>10</Lines>
  <Paragraphs>2</Paragraphs>
  <TotalTime>7</TotalTime>
  <ScaleCrop>false</ScaleCrop>
  <LinksUpToDate>false</LinksUpToDate>
  <CharactersWithSpaces>2332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2023-04-27T01:47:00Z</dcterms:created>
  <dc:creator>lenovo</dc:creator>
  <cp:lastModifiedBy>张娜</cp:lastModifiedBy>
  <cp:lastPrinted>2022-08-29T09:18:00Z</cp:lastPrinted>
  <dcterms:modified xsi:type="dcterms:W3CDTF">2026-06-29T03:05:09Z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D617C1654C8341B1A5C820E9B6233199_13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