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济宁公用惠民瑞马置业有限公司</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5</w:t>
      </w:r>
      <w:r>
        <w:rPr>
          <w:rFonts w:hint="eastAsia" w:ascii="Times New Roman" w:hAnsi="Times New Roman" w:eastAsia="方正小标宋简体" w:cs="方正小标宋简体"/>
          <w:b/>
          <w:bCs/>
          <w:sz w:val="44"/>
          <w:szCs w:val="44"/>
        </w:rPr>
        <w:t>年</w:t>
      </w:r>
      <w:r>
        <w:rPr>
          <w:rFonts w:hint="eastAsia" w:ascii="Times New Roman" w:hAnsi="Times New Roman" w:eastAsia="方正小标宋简体" w:cs="方正小标宋简体"/>
          <w:b/>
          <w:bCs/>
          <w:sz w:val="44"/>
          <w:szCs w:val="44"/>
          <w:lang w:val="en-US" w:eastAsia="zh-CN"/>
        </w:rPr>
        <w:t>度</w:t>
      </w:r>
      <w:r>
        <w:rPr>
          <w:rFonts w:hint="eastAsia" w:ascii="Times New Roman" w:hAnsi="Times New Roman" w:eastAsia="方正小标宋简体" w:cs="方正小标宋简体"/>
          <w:b/>
          <w:bCs/>
          <w:sz w:val="44"/>
          <w:szCs w:val="44"/>
        </w:rPr>
        <w:t>财务等重大信息公开</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Times New Roman" w:hAnsi="Times New Roman" w:eastAsia="方正仿宋简体" w:cs="方正仿宋简体"/>
          <w:b/>
          <w:bCs/>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 xml:space="preserve">公司基本情况 </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方正仿宋简体" w:cs="方正仿宋简体"/>
          <w:b/>
          <w:bCs/>
          <w:sz w:val="32"/>
          <w:szCs w:val="32"/>
          <w:lang w:eastAsia="zh-CN"/>
        </w:rPr>
      </w:pPr>
      <w:r>
        <w:rPr>
          <w:rFonts w:ascii="Times New Roman" w:hAnsi="Times New Roman" w:eastAsia="方正仿宋简体" w:cs="方正仿宋简体"/>
          <w:b/>
          <w:bCs/>
          <w:sz w:val="32"/>
          <w:szCs w:val="32"/>
        </w:rPr>
        <w:t>济宁公用惠民瑞马置业有限公司</w:t>
      </w:r>
      <w:r>
        <w:rPr>
          <w:rFonts w:hint="eastAsia" w:ascii="Times New Roman" w:hAnsi="Times New Roman" w:eastAsia="方正仿宋简体" w:cs="方正仿宋简体"/>
          <w:b/>
          <w:bCs/>
          <w:sz w:val="32"/>
          <w:szCs w:val="32"/>
          <w:lang w:val="en-US" w:eastAsia="zh-CN"/>
        </w:rPr>
        <w:t>是由济宁公用瑞马置业有限公司</w:t>
      </w:r>
      <w:r>
        <w:rPr>
          <w:rFonts w:ascii="Times New Roman" w:hAnsi="Times New Roman" w:eastAsia="方正仿宋简体" w:cs="方正仿宋简体"/>
          <w:b/>
          <w:bCs/>
          <w:sz w:val="32"/>
          <w:szCs w:val="32"/>
        </w:rPr>
        <w:t>（占股70%）</w:t>
      </w:r>
      <w:r>
        <w:rPr>
          <w:rFonts w:hint="eastAsia" w:ascii="Times New Roman" w:hAnsi="Times New Roman" w:eastAsia="方正仿宋简体" w:cs="方正仿宋简体"/>
          <w:b/>
          <w:bCs/>
          <w:sz w:val="32"/>
          <w:szCs w:val="32"/>
          <w:lang w:val="en-US" w:eastAsia="zh-CN"/>
        </w:rPr>
        <w:t>与济宁市兖州区惠民城建投资有限公司</w:t>
      </w:r>
      <w:r>
        <w:rPr>
          <w:rFonts w:ascii="Times New Roman" w:hAnsi="Times New Roman" w:eastAsia="方正仿宋简体" w:cs="方正仿宋简体"/>
          <w:b/>
          <w:bCs/>
          <w:sz w:val="32"/>
          <w:szCs w:val="32"/>
        </w:rPr>
        <w:t>（占股</w:t>
      </w:r>
      <w:r>
        <w:rPr>
          <w:rFonts w:hint="eastAsia" w:ascii="Times New Roman" w:hAnsi="Times New Roman" w:eastAsia="方正仿宋简体" w:cs="方正仿宋简体"/>
          <w:b/>
          <w:bCs/>
          <w:sz w:val="32"/>
          <w:szCs w:val="32"/>
          <w:lang w:val="en-US" w:eastAsia="zh-CN"/>
        </w:rPr>
        <w:t>3</w:t>
      </w:r>
      <w:r>
        <w:rPr>
          <w:rFonts w:ascii="Times New Roman" w:hAnsi="Times New Roman" w:eastAsia="方正仿宋简体" w:cs="方正仿宋简体"/>
          <w:b/>
          <w:bCs/>
          <w:sz w:val="32"/>
          <w:szCs w:val="32"/>
        </w:rPr>
        <w:t>0%）</w:t>
      </w:r>
      <w:r>
        <w:rPr>
          <w:rFonts w:hint="eastAsia" w:ascii="Times New Roman" w:hAnsi="Times New Roman" w:eastAsia="方正仿宋简体" w:cs="方正仿宋简体"/>
          <w:b/>
          <w:bCs/>
          <w:sz w:val="32"/>
          <w:szCs w:val="32"/>
          <w:lang w:val="en-US" w:eastAsia="zh-CN"/>
        </w:rPr>
        <w:t>合资成立的房地产开发企业，</w:t>
      </w:r>
      <w:r>
        <w:rPr>
          <w:rFonts w:ascii="Times New Roman" w:hAnsi="Times New Roman" w:eastAsia="方正仿宋简体" w:cs="方正仿宋简体"/>
          <w:b/>
          <w:bCs/>
          <w:sz w:val="32"/>
          <w:szCs w:val="32"/>
        </w:rPr>
        <w:t>成立于2018年9月，</w:t>
      </w:r>
      <w:r>
        <w:rPr>
          <w:rFonts w:hint="eastAsia" w:ascii="Times New Roman" w:hAnsi="Times New Roman" w:eastAsia="方正仿宋简体" w:cs="方正仿宋简体"/>
          <w:b/>
          <w:bCs/>
          <w:sz w:val="32"/>
          <w:szCs w:val="32"/>
        </w:rPr>
        <w:t>注册资本金2000万元</w:t>
      </w:r>
      <w:r>
        <w:rPr>
          <w:rFonts w:hint="eastAsia" w:ascii="Times New Roman" w:hAnsi="Times New Roman" w:eastAsia="方正仿宋简体" w:cs="方正仿宋简体"/>
          <w:b/>
          <w:bCs/>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方正仿宋简体" w:cs="方正仿宋简体"/>
          <w:b/>
          <w:bCs/>
          <w:sz w:val="32"/>
          <w:szCs w:val="32"/>
        </w:rPr>
      </w:pPr>
      <w:r>
        <w:rPr>
          <w:rFonts w:ascii="Times New Roman" w:hAnsi="Times New Roman" w:eastAsia="方正仿宋简体" w:cs="方正仿宋简体"/>
          <w:b/>
          <w:bCs/>
          <w:sz w:val="32"/>
          <w:szCs w:val="32"/>
        </w:rPr>
        <w:t>公司自成立以来，按照市场化、专业化、规范化的管理模式，遵循“安全至上、服质量第一”的企业宗旨</w:t>
      </w:r>
      <w:r>
        <w:rPr>
          <w:rFonts w:hint="eastAsia" w:ascii="Times New Roman" w:hAnsi="Times New Roman" w:eastAsia="方正仿宋简体" w:cs="方正仿宋简体"/>
          <w:b/>
          <w:bCs/>
          <w:sz w:val="32"/>
          <w:szCs w:val="32"/>
        </w:rPr>
        <w:t>，</w:t>
      </w:r>
      <w:r>
        <w:rPr>
          <w:rFonts w:ascii="Times New Roman" w:hAnsi="Times New Roman" w:eastAsia="方正仿宋简体" w:cs="方正仿宋简体"/>
          <w:b/>
          <w:bCs/>
          <w:sz w:val="32"/>
          <w:szCs w:val="32"/>
        </w:rPr>
        <w:t>内部设置了综合部、成本部、财务部、设计部、采购部、营销部、项目部</w:t>
      </w:r>
      <w:r>
        <w:rPr>
          <w:rFonts w:hint="eastAsia" w:ascii="Times New Roman" w:hAnsi="Times New Roman" w:eastAsia="方正仿宋简体" w:cs="方正仿宋简体"/>
          <w:b/>
          <w:bCs/>
          <w:sz w:val="32"/>
          <w:szCs w:val="32"/>
        </w:rPr>
        <w:t>等</w:t>
      </w:r>
      <w:r>
        <w:rPr>
          <w:rFonts w:ascii="Times New Roman" w:hAnsi="Times New Roman" w:eastAsia="方正仿宋简体" w:cs="方正仿宋简体"/>
          <w:b/>
          <w:bCs/>
          <w:sz w:val="32"/>
          <w:szCs w:val="32"/>
        </w:rPr>
        <w:t>部门</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由我公司开发建设的惠民瑞马世家建筑风格为新古典法式风情高品质住区。项目总建筑面积约45万㎡，规划住宅2200余套，绿地率35%，容积率2.0，其中地上建筑面积约31万平方，地下建筑面积约13.9万平方。高层、洋房错落有致，将法式宫廷的尊贵气度完美呈现，打造兖州北城区最美的天际线。</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企业名称：济宁公用惠民瑞马置业有限公司</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注册地址：济宁市兖州区鼓楼街道办事处中御桥北路东侧、文化东路北侧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登记机关：济宁市兖州区行政审批服务局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经营范围：房地产开发、销售、房屋租赁。（依法须经批准的项目，经相关部门批准后方可开展经营活动）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企业类型：其他有限责任公司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成立日期：2018年9月13日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（三）机构设置</w:t>
      </w:r>
    </w:p>
    <w:tbl>
      <w:tblPr>
        <w:tblStyle w:val="5"/>
        <w:tblpPr w:leftFromText="180" w:rightFromText="180" w:vertAnchor="text" w:horzAnchor="page" w:tblpX="1397" w:tblpY="2387"/>
        <w:tblOverlap w:val="never"/>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1702"/>
        <w:gridCol w:w="1868"/>
        <w:gridCol w:w="2040"/>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255"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left"/>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kern w:val="0"/>
                <w:sz w:val="32"/>
                <w:szCs w:val="32"/>
                <w:u w:val="none"/>
                <w:lang w:val="en-US" w:eastAsia="zh-CN" w:bidi="ar"/>
              </w:rPr>
              <w:t>单位： 济宁公用惠民瑞马置业有限公司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eastAsia" w:ascii="方正黑体简体" w:hAnsi="方正黑体简体" w:eastAsia="方正黑体简体" w:cs="方正黑体简体"/>
                <w:b/>
                <w:bCs/>
                <w:i w:val="0"/>
                <w:iCs w:val="0"/>
                <w:color w:val="000000"/>
                <w:sz w:val="32"/>
                <w:szCs w:val="32"/>
                <w:u w:val="none"/>
              </w:rPr>
            </w:pPr>
            <w:r>
              <w:rPr>
                <w:rFonts w:hint="eastAsia" w:ascii="方正黑体简体" w:hAnsi="方正黑体简体" w:eastAsia="方正黑体简体" w:cs="方正黑体简体"/>
                <w:b/>
                <w:bCs/>
                <w:i w:val="0"/>
                <w:iCs w:val="0"/>
                <w:color w:val="000000"/>
                <w:kern w:val="0"/>
                <w:sz w:val="32"/>
                <w:szCs w:val="32"/>
                <w:u w:val="none"/>
                <w:lang w:val="en-US" w:eastAsia="zh-CN" w:bidi="ar"/>
              </w:rPr>
              <w:t>项目</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000000"/>
                <w:sz w:val="32"/>
                <w:szCs w:val="32"/>
                <w:u w:val="none"/>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本期累计金额</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000000"/>
                <w:sz w:val="32"/>
                <w:szCs w:val="32"/>
                <w:u w:val="none"/>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年度预算目标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000000"/>
                <w:kern w:val="0"/>
                <w:sz w:val="32"/>
                <w:szCs w:val="32"/>
                <w:u w:val="none"/>
                <w:lang w:val="en-US" w:eastAsia="zh-CN" w:bidi="ar"/>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预算完成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000000"/>
                <w:sz w:val="32"/>
                <w:szCs w:val="32"/>
                <w:u w:val="none"/>
              </w:rPr>
            </w:pPr>
            <w:r>
              <w:rPr>
                <w:rFonts w:hint="eastAsia" w:ascii="方正黑体简体" w:hAnsi="方正黑体简体" w:eastAsia="方正黑体简体" w:cs="方正黑体简体"/>
                <w:b/>
                <w:bCs/>
                <w:i w:val="0"/>
                <w:iCs w:val="0"/>
                <w:color w:val="000000"/>
                <w:kern w:val="0"/>
                <w:sz w:val="32"/>
                <w:szCs w:val="32"/>
                <w:u w:val="none"/>
                <w:lang w:val="en-US" w:eastAsia="zh-CN" w:bidi="ar"/>
              </w:rPr>
              <w:t>情况</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eastAsia" w:ascii="方正黑体简体" w:hAnsi="方正黑体简体" w:eastAsia="方正黑体简体" w:cs="方正黑体简体"/>
                <w:b/>
                <w:bCs/>
                <w:i w:val="0"/>
                <w:iCs w:val="0"/>
                <w:color w:val="000000"/>
                <w:sz w:val="32"/>
                <w:szCs w:val="32"/>
                <w:u w:val="none"/>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上年同期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营业总收入</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21,458.00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21,009.00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102.14%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35,714.00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营业总成本</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19,537.00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19,115.00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102.21%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31,934.00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利润总额</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1,935.00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1,894.00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102.16%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rPr>
            </w:pPr>
            <w:r>
              <w:rPr>
                <w:rFonts w:hint="default" w:ascii="Times New Roman" w:hAnsi="Times New Roman" w:eastAsia="方正仿宋简体" w:cs="Times New Roman"/>
                <w:b/>
                <w:bCs/>
                <w:i w:val="0"/>
                <w:iCs w:val="0"/>
                <w:color w:val="000000"/>
                <w:kern w:val="0"/>
                <w:sz w:val="32"/>
                <w:szCs w:val="32"/>
                <w:u w:val="none"/>
                <w:lang w:val="en-US" w:eastAsia="zh-CN" w:bidi="ar"/>
              </w:rPr>
              <w:t>3,781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净利润</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1,451.00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1,420.50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102.15%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rPr>
            </w:pPr>
            <w:r>
              <w:rPr>
                <w:rFonts w:hint="default" w:ascii="Times New Roman" w:hAnsi="Times New Roman" w:eastAsia="方正仿宋简体" w:cs="Times New Roman"/>
                <w:b/>
                <w:bCs/>
                <w:i w:val="0"/>
                <w:iCs w:val="0"/>
                <w:color w:val="000000"/>
                <w:kern w:val="0"/>
                <w:sz w:val="32"/>
                <w:szCs w:val="32"/>
                <w:u w:val="none"/>
                <w:lang w:val="en-US" w:eastAsia="zh-CN" w:bidi="ar"/>
              </w:rPr>
              <w:t>2,602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资产总额</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31,124.00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17,431.00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178.56%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27,740.00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负债总额</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21,802.00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8,139.74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267.85%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19,869.00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所有者权益</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9,322.00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 xml:space="preserve"> 9,291.26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100.33%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7,871.00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公司设执行董事1名，经理1名，副经理</w:t>
      </w:r>
      <w:bookmarkStart w:id="0" w:name="_GoBack"/>
      <w:bookmarkEnd w:id="0"/>
      <w:r>
        <w:rPr>
          <w:rFonts w:hint="eastAsia" w:ascii="Times New Roman" w:hAnsi="Times New Roman" w:eastAsia="方正仿宋简体" w:cs="方正仿宋简体"/>
          <w:b/>
          <w:bCs/>
          <w:sz w:val="32"/>
          <w:szCs w:val="32"/>
        </w:rPr>
        <w:t>1名；设6个部室、1个项目部，分别为：财务部、成本部、营销部、成本部、采购部、综合部、世家项目部。</w:t>
      </w:r>
    </w:p>
    <w:p>
      <w:pPr>
        <w:keepNext w:val="0"/>
        <w:keepLines w:val="0"/>
        <w:pageBreakBefore w:val="0"/>
        <w:numPr>
          <w:ilvl w:val="0"/>
          <w:numId w:val="1"/>
        </w:numPr>
        <w:kinsoku/>
        <w:wordWrap/>
        <w:overflowPunct/>
        <w:topLinePunct w:val="0"/>
        <w:bidi w:val="0"/>
        <w:snapToGrid w:val="0"/>
        <w:spacing w:line="60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bCs/>
          <w:sz w:val="32"/>
          <w:szCs w:val="32"/>
        </w:rPr>
        <w:t>主要会计数据和财务指标</w:t>
      </w:r>
    </w:p>
    <w:p>
      <w:pPr>
        <w:keepNext w:val="0"/>
        <w:keepLines w:val="0"/>
        <w:pageBreakBefore w:val="0"/>
        <w:kinsoku/>
        <w:wordWrap/>
        <w:overflowPunct/>
        <w:topLinePunct w:val="0"/>
        <w:bidi w:val="0"/>
        <w:snapToGrid w:val="0"/>
        <w:spacing w:line="600" w:lineRule="exact"/>
        <w:ind w:firstLine="643" w:firstLineChars="200"/>
        <w:rPr>
          <w:rFonts w:ascii="Times New Roman" w:hAnsi="Times New Roman" w:eastAsia="方正小标宋简体" w:cs="Times New Roman"/>
          <w:b/>
          <w:bCs/>
          <w:sz w:val="32"/>
          <w:szCs w:val="32"/>
        </w:rPr>
      </w:pPr>
      <w:r>
        <w:rPr>
          <w:rFonts w:hint="eastAsia" w:ascii="Times New Roman" w:hAnsi="Times New Roman" w:eastAsia="方正黑体简体" w:cs="Times New Roman"/>
          <w:b/>
          <w:bCs/>
          <w:sz w:val="32"/>
          <w:szCs w:val="32"/>
        </w:rPr>
        <w:t>三</w:t>
      </w:r>
      <w:r>
        <w:rPr>
          <w:rFonts w:ascii="Times New Roman" w:hAnsi="Times New Roman" w:eastAsia="方正黑体简体" w:cs="Times New Roman"/>
          <w:b/>
          <w:bCs/>
          <w:sz w:val="32"/>
          <w:szCs w:val="32"/>
        </w:rPr>
        <w:t>、财务预算执行情况</w:t>
      </w:r>
    </w:p>
    <w:p>
      <w:pPr>
        <w:pStyle w:val="10"/>
        <w:keepNext w:val="0"/>
        <w:keepLines w:val="0"/>
        <w:pageBreakBefore w:val="0"/>
        <w:kinsoku/>
        <w:wordWrap/>
        <w:overflowPunct/>
        <w:topLinePunct w:val="0"/>
        <w:bidi w:val="0"/>
        <w:spacing w:line="600" w:lineRule="exact"/>
        <w:ind w:firstLine="643" w:firstLineChars="200"/>
        <w:jc w:val="both"/>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color w:val="auto"/>
          <w:kern w:val="2"/>
          <w:sz w:val="32"/>
          <w:szCs w:val="32"/>
          <w:lang w:val="en-US" w:eastAsia="zh-CN"/>
        </w:rPr>
        <w:t>2025年度</w:t>
      </w:r>
      <w:r>
        <w:rPr>
          <w:rFonts w:hint="eastAsia" w:ascii="Times New Roman" w:hAnsi="Times New Roman" w:eastAsia="方正仿宋简体" w:cs="方正仿宋简体"/>
          <w:b/>
          <w:bCs/>
          <w:color w:val="auto"/>
          <w:kern w:val="2"/>
          <w:sz w:val="32"/>
          <w:szCs w:val="32"/>
        </w:rPr>
        <w:t>累计实现营业收入</w:t>
      </w:r>
      <w:r>
        <w:rPr>
          <w:rFonts w:hint="eastAsia" w:ascii="Times New Roman" w:hAnsi="Times New Roman" w:eastAsia="方正仿宋简体" w:cs="方正仿宋简体"/>
          <w:b/>
          <w:bCs/>
          <w:color w:val="auto"/>
          <w:kern w:val="2"/>
          <w:sz w:val="32"/>
          <w:szCs w:val="32"/>
          <w:lang w:val="en-US" w:eastAsia="zh-CN"/>
        </w:rPr>
        <w:t>2.15亿</w:t>
      </w:r>
      <w:r>
        <w:rPr>
          <w:rFonts w:hint="eastAsia"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2.1</w:t>
      </w:r>
      <w:r>
        <w:rPr>
          <w:rFonts w:hint="eastAsia"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102.14%</w:t>
      </w:r>
      <w:r>
        <w:rPr>
          <w:rFonts w:hint="eastAsia" w:ascii="Times New Roman" w:hAnsi="Times New Roman" w:eastAsia="方正仿宋简体" w:cs="方正仿宋简体"/>
          <w:b/>
          <w:bCs/>
          <w:color w:val="auto"/>
          <w:kern w:val="2"/>
          <w:sz w:val="32"/>
          <w:szCs w:val="32"/>
        </w:rPr>
        <w:t>；累计实现利润总额</w:t>
      </w:r>
      <w:r>
        <w:rPr>
          <w:rFonts w:hint="eastAsia" w:ascii="Times New Roman" w:hAnsi="Times New Roman" w:eastAsia="方正仿宋简体" w:cs="方正仿宋简体"/>
          <w:b/>
          <w:bCs/>
          <w:color w:val="auto"/>
          <w:kern w:val="2"/>
          <w:sz w:val="32"/>
          <w:szCs w:val="32"/>
          <w:lang w:val="en-US" w:eastAsia="zh-CN"/>
        </w:rPr>
        <w:t>1933</w:t>
      </w:r>
      <w:r>
        <w:rPr>
          <w:rFonts w:hint="eastAsia" w:ascii="Times New Roman" w:hAnsi="Times New Roman" w:eastAsia="方正仿宋简体" w:cs="方正仿宋简体"/>
          <w:b/>
          <w:bCs/>
          <w:color w:val="auto"/>
          <w:kern w:val="2"/>
          <w:sz w:val="32"/>
          <w:szCs w:val="32"/>
        </w:rPr>
        <w:t>万元，完成全年预算</w:t>
      </w:r>
      <w:r>
        <w:rPr>
          <w:rFonts w:hint="eastAsia" w:ascii="Times New Roman" w:hAnsi="Times New Roman" w:eastAsia="方正仿宋简体" w:cs="方正仿宋简体"/>
          <w:b/>
          <w:bCs/>
          <w:color w:val="auto"/>
          <w:kern w:val="2"/>
          <w:sz w:val="32"/>
          <w:szCs w:val="32"/>
          <w:lang w:val="en-US" w:eastAsia="zh-CN"/>
        </w:rPr>
        <w:t>1894</w:t>
      </w:r>
      <w:r>
        <w:rPr>
          <w:rFonts w:hint="eastAsia" w:ascii="Times New Roman" w:hAnsi="Times New Roman" w:eastAsia="方正仿宋简体" w:cs="方正仿宋简体"/>
          <w:b/>
          <w:bCs/>
          <w:color w:val="auto"/>
          <w:kern w:val="2"/>
          <w:sz w:val="32"/>
          <w:szCs w:val="32"/>
        </w:rPr>
        <w:t>万元的</w:t>
      </w:r>
      <w:r>
        <w:rPr>
          <w:rFonts w:hint="eastAsia" w:ascii="Times New Roman" w:hAnsi="Times New Roman" w:eastAsia="方正仿宋简体" w:cs="方正仿宋简体"/>
          <w:b/>
          <w:bCs/>
          <w:color w:val="auto"/>
          <w:kern w:val="2"/>
          <w:sz w:val="32"/>
          <w:szCs w:val="32"/>
          <w:lang w:val="en-US" w:eastAsia="zh-CN"/>
        </w:rPr>
        <w:t>102.06%</w:t>
      </w:r>
      <w:r>
        <w:rPr>
          <w:rFonts w:hint="eastAsia"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val="en-US" w:eastAsia="zh-CN"/>
        </w:rPr>
        <w:t>12</w:t>
      </w:r>
      <w:r>
        <w:rPr>
          <w:rFonts w:hint="eastAsia" w:ascii="Times New Roman" w:hAnsi="Times New Roman" w:eastAsia="方正仿宋简体" w:cs="方正仿宋简体"/>
          <w:b/>
          <w:bCs/>
          <w:color w:val="auto"/>
          <w:kern w:val="2"/>
          <w:sz w:val="32"/>
          <w:szCs w:val="32"/>
        </w:rPr>
        <w:t>月底资产负债率</w:t>
      </w:r>
      <w:r>
        <w:rPr>
          <w:rFonts w:hint="eastAsia" w:ascii="Times New Roman" w:hAnsi="Times New Roman" w:eastAsia="方正仿宋简体" w:cs="方正仿宋简体"/>
          <w:b/>
          <w:bCs/>
          <w:color w:val="auto"/>
          <w:kern w:val="2"/>
          <w:sz w:val="32"/>
          <w:szCs w:val="32"/>
          <w:lang w:val="en-US" w:eastAsia="zh-CN"/>
        </w:rPr>
        <w:t>70.05%</w:t>
      </w:r>
      <w:r>
        <w:rPr>
          <w:rFonts w:hint="eastAsia" w:ascii="Times New Roman" w:hAnsi="Times New Roman" w:eastAsia="方正仿宋简体" w:cs="方正仿宋简体"/>
          <w:b/>
          <w:bCs/>
          <w:color w:val="auto"/>
          <w:kern w:val="2"/>
          <w:sz w:val="32"/>
          <w:szCs w:val="32"/>
        </w:rPr>
        <w:t>，比去年同期的</w:t>
      </w:r>
      <w:r>
        <w:rPr>
          <w:rFonts w:hint="eastAsia" w:ascii="Times New Roman" w:hAnsi="Times New Roman" w:eastAsia="方正仿宋简体" w:cs="方正仿宋简体"/>
          <w:b/>
          <w:bCs/>
          <w:color w:val="auto"/>
          <w:kern w:val="2"/>
          <w:sz w:val="32"/>
          <w:szCs w:val="32"/>
          <w:lang w:val="en-US" w:eastAsia="zh-CN"/>
        </w:rPr>
        <w:t>71.63%</w:t>
      </w:r>
      <w:r>
        <w:rPr>
          <w:rFonts w:hint="eastAsia" w:ascii="Times New Roman" w:hAnsi="Times New Roman" w:eastAsia="方正仿宋简体" w:cs="方正仿宋简体"/>
          <w:b/>
          <w:bCs/>
          <w:color w:val="auto"/>
          <w:kern w:val="2"/>
          <w:sz w:val="32"/>
          <w:szCs w:val="32"/>
        </w:rPr>
        <w:t>下降</w:t>
      </w:r>
      <w:r>
        <w:rPr>
          <w:rFonts w:hint="eastAsia" w:ascii="Times New Roman" w:hAnsi="Times New Roman" w:eastAsia="方正仿宋简体" w:cs="方正仿宋简体"/>
          <w:b/>
          <w:bCs/>
          <w:color w:val="auto"/>
          <w:kern w:val="2"/>
          <w:sz w:val="32"/>
          <w:szCs w:val="32"/>
          <w:lang w:val="en-US" w:eastAsia="zh-CN"/>
        </w:rPr>
        <w:t>1.58</w:t>
      </w:r>
      <w:r>
        <w:rPr>
          <w:rFonts w:hint="eastAsia" w:ascii="Times New Roman" w:hAnsi="Times New Roman" w:eastAsia="方正仿宋简体" w:cs="方正仿宋简体"/>
          <w:b/>
          <w:bCs/>
          <w:color w:val="auto"/>
          <w:kern w:val="2"/>
          <w:sz w:val="32"/>
          <w:szCs w:val="32"/>
        </w:rPr>
        <w:t>个百分点。</w:t>
      </w:r>
    </w:p>
    <w:p>
      <w:pPr>
        <w:keepNext w:val="0"/>
        <w:keepLines w:val="0"/>
        <w:pageBreakBefore w:val="0"/>
        <w:kinsoku/>
        <w:wordWrap/>
        <w:overflowPunct/>
        <w:topLinePunct w:val="0"/>
        <w:bidi w:val="0"/>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四</w:t>
      </w:r>
      <w:r>
        <w:rPr>
          <w:rFonts w:ascii="Times New Roman" w:hAnsi="Times New Roman" w:eastAsia="方正黑体简体" w:cs="Times New Roman"/>
          <w:b/>
          <w:bCs/>
          <w:sz w:val="32"/>
          <w:szCs w:val="32"/>
        </w:rPr>
        <w:t>、</w:t>
      </w:r>
      <w:r>
        <w:rPr>
          <w:rFonts w:hint="eastAsia" w:ascii="Times New Roman" w:hAnsi="Times New Roman" w:eastAsia="方正黑体简体" w:cs="Times New Roman"/>
          <w:b/>
          <w:bCs/>
          <w:sz w:val="32"/>
          <w:szCs w:val="32"/>
          <w:lang w:val="en-US" w:eastAsia="zh-CN"/>
        </w:rPr>
        <w:t>2025年度内发生的重大事项及对公司的影响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lang w:val="en-US" w:eastAsia="zh-CN"/>
        </w:rPr>
        <w:t>济宁公用惠民瑞马置业有限公司2025年度内未发生重大事项。</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B768B"/>
    <w:rsid w:val="000F4906"/>
    <w:rsid w:val="001048D2"/>
    <w:rsid w:val="001225CF"/>
    <w:rsid w:val="0016636E"/>
    <w:rsid w:val="00173818"/>
    <w:rsid w:val="001E70D3"/>
    <w:rsid w:val="001F0930"/>
    <w:rsid w:val="00215555"/>
    <w:rsid w:val="002659B0"/>
    <w:rsid w:val="0027474F"/>
    <w:rsid w:val="002F0D05"/>
    <w:rsid w:val="0033664A"/>
    <w:rsid w:val="00387CC5"/>
    <w:rsid w:val="003A2581"/>
    <w:rsid w:val="003B2746"/>
    <w:rsid w:val="003C0776"/>
    <w:rsid w:val="003F200B"/>
    <w:rsid w:val="0040651C"/>
    <w:rsid w:val="004613E2"/>
    <w:rsid w:val="004B3BB3"/>
    <w:rsid w:val="004B51FE"/>
    <w:rsid w:val="004C19A7"/>
    <w:rsid w:val="004F2DF9"/>
    <w:rsid w:val="005304BC"/>
    <w:rsid w:val="00545BAB"/>
    <w:rsid w:val="00590DF4"/>
    <w:rsid w:val="005C6338"/>
    <w:rsid w:val="005D0127"/>
    <w:rsid w:val="00646654"/>
    <w:rsid w:val="00663457"/>
    <w:rsid w:val="006C787C"/>
    <w:rsid w:val="007534E3"/>
    <w:rsid w:val="007B1BD4"/>
    <w:rsid w:val="007D5E77"/>
    <w:rsid w:val="00814BA3"/>
    <w:rsid w:val="008152B0"/>
    <w:rsid w:val="00843F2E"/>
    <w:rsid w:val="00883DD5"/>
    <w:rsid w:val="008A4D0D"/>
    <w:rsid w:val="008A6F95"/>
    <w:rsid w:val="00956D2F"/>
    <w:rsid w:val="009A5685"/>
    <w:rsid w:val="009D48DC"/>
    <w:rsid w:val="009E5784"/>
    <w:rsid w:val="00A45B31"/>
    <w:rsid w:val="00A87960"/>
    <w:rsid w:val="00B47D29"/>
    <w:rsid w:val="00B72AA9"/>
    <w:rsid w:val="00BA5853"/>
    <w:rsid w:val="00C34F1A"/>
    <w:rsid w:val="00C471A1"/>
    <w:rsid w:val="00C60935"/>
    <w:rsid w:val="00C65F09"/>
    <w:rsid w:val="00CC0C67"/>
    <w:rsid w:val="00D153C1"/>
    <w:rsid w:val="00D2501B"/>
    <w:rsid w:val="00D33D8F"/>
    <w:rsid w:val="00D34D61"/>
    <w:rsid w:val="00D43CE6"/>
    <w:rsid w:val="00DA289F"/>
    <w:rsid w:val="00DB13BB"/>
    <w:rsid w:val="00E01818"/>
    <w:rsid w:val="00E0765F"/>
    <w:rsid w:val="00E25793"/>
    <w:rsid w:val="00E60C18"/>
    <w:rsid w:val="00E6208D"/>
    <w:rsid w:val="00EC0809"/>
    <w:rsid w:val="00F53553"/>
    <w:rsid w:val="030A01E2"/>
    <w:rsid w:val="04C07E5F"/>
    <w:rsid w:val="068454A2"/>
    <w:rsid w:val="06D01345"/>
    <w:rsid w:val="088D6BCC"/>
    <w:rsid w:val="0935296D"/>
    <w:rsid w:val="0E1625D1"/>
    <w:rsid w:val="1091667A"/>
    <w:rsid w:val="13C82B02"/>
    <w:rsid w:val="144942E0"/>
    <w:rsid w:val="14DA60E1"/>
    <w:rsid w:val="176E0FB5"/>
    <w:rsid w:val="19560A59"/>
    <w:rsid w:val="1B6E1071"/>
    <w:rsid w:val="1C496371"/>
    <w:rsid w:val="1C8F2AE8"/>
    <w:rsid w:val="1D0A2792"/>
    <w:rsid w:val="20A52138"/>
    <w:rsid w:val="21785B44"/>
    <w:rsid w:val="21DA7FC4"/>
    <w:rsid w:val="25486BE3"/>
    <w:rsid w:val="26A93DBD"/>
    <w:rsid w:val="279D55DA"/>
    <w:rsid w:val="27F03E2A"/>
    <w:rsid w:val="28716ED4"/>
    <w:rsid w:val="28E8704B"/>
    <w:rsid w:val="290C75C1"/>
    <w:rsid w:val="29D47C5C"/>
    <w:rsid w:val="2A4822AF"/>
    <w:rsid w:val="2A5961F8"/>
    <w:rsid w:val="2E4230DC"/>
    <w:rsid w:val="2E8D617B"/>
    <w:rsid w:val="2EF22242"/>
    <w:rsid w:val="30436FA6"/>
    <w:rsid w:val="30690959"/>
    <w:rsid w:val="32777821"/>
    <w:rsid w:val="33180B55"/>
    <w:rsid w:val="334308AF"/>
    <w:rsid w:val="33C41072"/>
    <w:rsid w:val="3601249A"/>
    <w:rsid w:val="36D451CC"/>
    <w:rsid w:val="377451F5"/>
    <w:rsid w:val="39AE61CA"/>
    <w:rsid w:val="3D910776"/>
    <w:rsid w:val="3DF23407"/>
    <w:rsid w:val="3EA017DC"/>
    <w:rsid w:val="3FBD419A"/>
    <w:rsid w:val="41426331"/>
    <w:rsid w:val="419C0824"/>
    <w:rsid w:val="41B757E9"/>
    <w:rsid w:val="41DF55AC"/>
    <w:rsid w:val="428C50F8"/>
    <w:rsid w:val="432F1892"/>
    <w:rsid w:val="43742EF4"/>
    <w:rsid w:val="44244964"/>
    <w:rsid w:val="455B3491"/>
    <w:rsid w:val="47353B60"/>
    <w:rsid w:val="47510149"/>
    <w:rsid w:val="48CA4211"/>
    <w:rsid w:val="4B8F5F5B"/>
    <w:rsid w:val="4D314110"/>
    <w:rsid w:val="4EEF2F58"/>
    <w:rsid w:val="4F63028E"/>
    <w:rsid w:val="50577E8E"/>
    <w:rsid w:val="52DF6C8B"/>
    <w:rsid w:val="536B2CB8"/>
    <w:rsid w:val="57404164"/>
    <w:rsid w:val="576B5048"/>
    <w:rsid w:val="58BF571F"/>
    <w:rsid w:val="5A407308"/>
    <w:rsid w:val="5AD277FB"/>
    <w:rsid w:val="5AF40907"/>
    <w:rsid w:val="5BA2258D"/>
    <w:rsid w:val="5D40272A"/>
    <w:rsid w:val="5DA0538F"/>
    <w:rsid w:val="5E145AF2"/>
    <w:rsid w:val="5E88588F"/>
    <w:rsid w:val="5F412942"/>
    <w:rsid w:val="5FA47421"/>
    <w:rsid w:val="60785E58"/>
    <w:rsid w:val="60B90048"/>
    <w:rsid w:val="61B5226F"/>
    <w:rsid w:val="66792F89"/>
    <w:rsid w:val="66B26E0C"/>
    <w:rsid w:val="66EC3CFC"/>
    <w:rsid w:val="67F442C4"/>
    <w:rsid w:val="687706F2"/>
    <w:rsid w:val="6A5519A2"/>
    <w:rsid w:val="6C305B70"/>
    <w:rsid w:val="6C8F5896"/>
    <w:rsid w:val="6CD01971"/>
    <w:rsid w:val="6CDE381E"/>
    <w:rsid w:val="6D8C75E7"/>
    <w:rsid w:val="6E9C4C5B"/>
    <w:rsid w:val="6EC84BBA"/>
    <w:rsid w:val="6F1B23DF"/>
    <w:rsid w:val="6F481423"/>
    <w:rsid w:val="71D022E5"/>
    <w:rsid w:val="749B73BF"/>
    <w:rsid w:val="75D26FF0"/>
    <w:rsid w:val="7ACE35B6"/>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615</Words>
  <Characters>644</Characters>
  <Lines>7</Lines>
  <Paragraphs>2</Paragraphs>
  <TotalTime>1</TotalTime>
  <ScaleCrop>false</ScaleCrop>
  <LinksUpToDate>false</LinksUpToDate>
  <CharactersWithSpaces>680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2026-06-29T02:35:12Z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14D2E01598BD4B3689E73095F573D822_13</vt:lpwstr>
  </property>
  <property fmtid="{D5CDD505-2E9C-101B-9397-08002B2CF9AE}" pid="4" name="commondata">
    <vt:lpwstr>eyJoZGlkIjoiMzIxYmMwMDJkYjZiMmFlYzdhY2YzYTliOWFhN2UxMzIifQ==</vt:lpwstr>
  </property>
  <property fmtid="{D5CDD505-2E9C-101B-9397-08002B2CF9AE}" pid="5" name="KSOTemplateDocerSaveRecord">
    <vt:lpwstr>eyJoZGlkIjoiYzgzZDE3YjdjMWRhMTJhYmNhNjIwMDE0ZjRiMDc0YWEiLCJ1c2VySWQiOiIzNDI0Nzc0MDgifQ==</vt:lpwstr>
  </property>
</Properties>
</file>