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济宁公用机电设备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工程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2025年度财务等重大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黑体简体" w:eastAsia="方正黑体简体"/>
          <w:b/>
          <w:bCs/>
        </w:rPr>
        <w:t>一、</w:t>
      </w: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企业名称：</w:t>
      </w:r>
      <w:r>
        <w:rPr>
          <w:rFonts w:hint="eastAsia" w:ascii="方正仿宋简体" w:hAnsi="方正仿宋简体" w:eastAsia="方正仿宋简体" w:cs="方正仿宋简体"/>
          <w:b/>
          <w:bCs w:val="0"/>
          <w:szCs w:val="32"/>
          <w:lang w:eastAsia="zh-CN"/>
        </w:rPr>
        <w:t>济宁公用机电设备</w:t>
      </w:r>
      <w:r>
        <w:rPr>
          <w:rFonts w:hint="eastAsia" w:ascii="方正仿宋简体" w:hAnsi="方正仿宋简体" w:eastAsia="方正仿宋简体" w:cs="方正仿宋简体"/>
          <w:b/>
          <w:bCs w:val="0"/>
          <w:szCs w:val="32"/>
          <w:lang w:val="en-US" w:eastAsia="zh-CN"/>
        </w:rPr>
        <w:t>工程</w:t>
      </w:r>
      <w:r>
        <w:rPr>
          <w:rFonts w:hint="eastAsia" w:ascii="方正仿宋简体" w:hAnsi="方正仿宋简体" w:eastAsia="方正仿宋简体" w:cs="方正仿宋简体"/>
          <w:b/>
          <w:bCs w:val="0"/>
          <w:szCs w:val="32"/>
          <w:lang w:eastAsia="zh-CN"/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注册地址：济宁市</w:t>
      </w:r>
      <w:r>
        <w:rPr>
          <w:rFonts w:hint="eastAsia" w:ascii="方正仿宋简体" w:hAnsi="方正仿宋简体" w:eastAsia="方正仿宋简体" w:cs="方正仿宋简体"/>
          <w:b/>
          <w:bCs w:val="0"/>
          <w:szCs w:val="32"/>
          <w:lang w:eastAsia="zh-CN"/>
        </w:rPr>
        <w:t>任城区观音阁街道太白楼东路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登记机关：济宁市</w:t>
      </w:r>
      <w:r>
        <w:rPr>
          <w:rFonts w:hint="eastAsia" w:ascii="方正仿宋简体" w:hAnsi="方正仿宋简体" w:eastAsia="方正仿宋简体" w:cs="方正仿宋简体"/>
          <w:b/>
          <w:bCs w:val="0"/>
          <w:szCs w:val="32"/>
          <w:lang w:eastAsia="zh-CN"/>
        </w:rPr>
        <w:t>任城区</w:t>
      </w: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经营范围：民用核安全设备安装；输电、供电、受电电力设施的安装、维修和试验；住宅室内装饰装修；建设工程施工；建筑劳务分包；建设工程设计；特种设备制造；发电业务、输电业务、供（配）电业务：特种设备安装改造修理；人防工程防护设备制造；热力生产和供应；施工专业作业；建筑物拆除作业（爆破作业除外）；城市生活垃圾经营性服务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一般项目：园林绿化工程施工；电气设备销售；五金产品零售；保温材料销售；工程管理服务；信息技术咨询服务；建筑材料生产专用机械制造；太阳能热发电装备销售；普通机械设备安装服务；环境保护监测；再生资源回收（除生产性废旧金属）；机械设备销售；机械电气设备销售；仪器仪表制造；电子专用设备销售；特种设备销售；砼结构构件销售；建筑装饰材料销售；防腐材料销售；建筑材料销售；水泥制品销售；水泥制品制造；砼结构构件制造；轻质建筑材料销售；承接总公司工程建设业务；体育场地设施工程施工；土石方工程施工；金属门窗工程施工；住宅水电安装维护服务；建筑工程机械与设备租赁；仓储设备租赁服务；</w:t>
      </w: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环境公共卫生设施安装服务；土地整治服务。（除依法须经批准的项目外，凭营业执照依法自主开展经营活动）。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企业类型：有限责任公司（非自然人投资或控股的法人独资）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成立日期：200</w:t>
      </w:r>
      <w:r>
        <w:rPr>
          <w:rFonts w:hint="default" w:ascii="Times New Roman" w:hAnsi="Times New Roman" w:eastAsia="方正仿宋简体" w:cs="Times New Roman"/>
          <w:b/>
          <w:bCs w:val="0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 w:val="0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</w:rPr>
        <w:t>二、主要会计数据</w:t>
      </w:r>
      <w:r>
        <w:rPr>
          <w:rFonts w:hint="default" w:ascii="Times New Roman" w:hAnsi="Times New Roman" w:eastAsia="方正黑体简体" w:cs="Times New Roman"/>
          <w:b/>
          <w:bCs/>
          <w:szCs w:val="32"/>
          <w:lang w:eastAsia="zh-CN"/>
        </w:rPr>
        <w:t>和财务指标</w:t>
      </w:r>
    </w:p>
    <w:tbl>
      <w:tblPr>
        <w:tblStyle w:val="4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300"/>
        <w:gridCol w:w="3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单位：人民币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5530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5246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261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本期金额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22110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19480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19543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17084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2567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2396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  <w:lang w:eastAsia="zh-CN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年1-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月份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eastAsia="zh-CN"/>
        </w:rPr>
        <w:t>公用机电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完成收入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0.55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亿元，完成全年预算目标的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31.6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%，（全年预算收入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1.75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亿元），上年同期完成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收入0.54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亿元，同比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增加3.25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%；实现利润总额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261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万元，完成全年预算目标的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26.17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%，（全年预算利润总额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997.5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万元），上年同期实现利润总额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259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万元，同比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增加0.77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%；实现净利润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171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万元，完成全年预算目标的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22.86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%，（全年预算净利润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748.12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万元），上年同期完成净利润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183.36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万元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，同比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减少6.74</w:t>
      </w:r>
      <w:r>
        <w:rPr>
          <w:rFonts w:hint="default" w:ascii="Times New Roman" w:hAnsi="Times New Roman" w:eastAsia="方正仿宋简体" w:cs="Times New Roman"/>
          <w:b/>
          <w:bCs/>
          <w:highlight w:val="none"/>
        </w:rPr>
        <w:t>%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NjIzMjQ1ZTY3ZTUzMzIwOWIwYThjZDU2MTY1NWEifQ=="/>
  </w:docVars>
  <w:rsids>
    <w:rsidRoot w:val="000335DA"/>
    <w:rsid w:val="000335DA"/>
    <w:rsid w:val="0021463C"/>
    <w:rsid w:val="005E6279"/>
    <w:rsid w:val="00713BF6"/>
    <w:rsid w:val="00B056B2"/>
    <w:rsid w:val="00B36860"/>
    <w:rsid w:val="00CC7A3C"/>
    <w:rsid w:val="06434AAA"/>
    <w:rsid w:val="088E3EF3"/>
    <w:rsid w:val="0A237998"/>
    <w:rsid w:val="0E38013F"/>
    <w:rsid w:val="10030802"/>
    <w:rsid w:val="103B1139"/>
    <w:rsid w:val="110D3768"/>
    <w:rsid w:val="11566D84"/>
    <w:rsid w:val="158A4974"/>
    <w:rsid w:val="1FAD4807"/>
    <w:rsid w:val="1FCB539C"/>
    <w:rsid w:val="213056EF"/>
    <w:rsid w:val="22603DB2"/>
    <w:rsid w:val="235B60CA"/>
    <w:rsid w:val="24386276"/>
    <w:rsid w:val="25D86403"/>
    <w:rsid w:val="25DF74F4"/>
    <w:rsid w:val="26CE2C8A"/>
    <w:rsid w:val="289C470C"/>
    <w:rsid w:val="2AC824E2"/>
    <w:rsid w:val="340277B2"/>
    <w:rsid w:val="348E086E"/>
    <w:rsid w:val="367E2D58"/>
    <w:rsid w:val="3A563C88"/>
    <w:rsid w:val="3AD94CFB"/>
    <w:rsid w:val="3AE36E90"/>
    <w:rsid w:val="3B7E27DA"/>
    <w:rsid w:val="3BC9431F"/>
    <w:rsid w:val="3CAC3EDD"/>
    <w:rsid w:val="3CC75AB0"/>
    <w:rsid w:val="42C615B8"/>
    <w:rsid w:val="43866A63"/>
    <w:rsid w:val="49E97F4F"/>
    <w:rsid w:val="4AC32DEB"/>
    <w:rsid w:val="4D274483"/>
    <w:rsid w:val="4DA50CAA"/>
    <w:rsid w:val="4DCB6977"/>
    <w:rsid w:val="520D5D40"/>
    <w:rsid w:val="530B4EA7"/>
    <w:rsid w:val="572A22F8"/>
    <w:rsid w:val="58F0211B"/>
    <w:rsid w:val="5A8C3EB0"/>
    <w:rsid w:val="5B3B0907"/>
    <w:rsid w:val="5D2E07BF"/>
    <w:rsid w:val="6383675B"/>
    <w:rsid w:val="63DB3A23"/>
    <w:rsid w:val="63EA0E2F"/>
    <w:rsid w:val="6AF70C56"/>
    <w:rsid w:val="70E52B41"/>
    <w:rsid w:val="793444A3"/>
    <w:rsid w:val="7B5D1DB2"/>
    <w:rsid w:val="7D3B25C7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6">
    <w:name w:val="标题 Char"/>
    <w:basedOn w:val="5"/>
    <w:link w:val="3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1046</Characters>
  <Lines>8</Lines>
  <Paragraphs>2</Paragraphs>
  <TotalTime>9</TotalTime>
  <ScaleCrop>false</ScaleCrop>
  <LinksUpToDate>false</LinksUpToDate>
  <CharactersWithSpaces>1049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2023-04-20T00:50:00Z</cp:lastPrinted>
  <dcterms:modified xsi:type="dcterms:W3CDTF">2026-06-29T02:29:01Z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0444C56B0DF24332B341368B8456CC9B_13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