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17AB3">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济宁腾锐汽车销售服务有限公司</w:t>
      </w:r>
    </w:p>
    <w:p w14:paraId="5D06F49A">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2026年度第一季度财务等重大信息公开</w:t>
      </w:r>
    </w:p>
    <w:p w14:paraId="7A02B3ED">
      <w:pPr>
        <w:pStyle w:val="6"/>
        <w:numPr>
          <w:ilvl w:val="0"/>
          <w:numId w:val="0"/>
        </w:numPr>
        <w:spacing w:line="600" w:lineRule="exact"/>
        <w:ind w:leftChars="0" w:firstLine="320" w:firstLineChars="100"/>
        <w:rPr>
          <w:rFonts w:hint="eastAsia" w:ascii="方正仿宋简体" w:hAnsi="方正仿宋简体" w:eastAsia="方正仿宋简体" w:cs="方正仿宋简体"/>
          <w:b w:val="0"/>
          <w:bCs w:val="0"/>
          <w:sz w:val="32"/>
          <w:szCs w:val="32"/>
          <w:lang w:val="en-US" w:eastAsia="zh-CN"/>
        </w:rPr>
      </w:pPr>
    </w:p>
    <w:p w14:paraId="1316E0BE">
      <w:pPr>
        <w:pStyle w:val="6"/>
        <w:numPr>
          <w:ilvl w:val="0"/>
          <w:numId w:val="0"/>
        </w:numPr>
        <w:spacing w:line="600" w:lineRule="exact"/>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lang w:val="en-US" w:eastAsia="zh-CN"/>
        </w:rPr>
        <w:t>一、</w:t>
      </w:r>
      <w:r>
        <w:rPr>
          <w:rFonts w:hint="default" w:ascii="Times New Roman" w:hAnsi="Times New Roman" w:eastAsia="方正黑体简体" w:cs="Times New Roman"/>
          <w:b/>
          <w:bCs/>
          <w:sz w:val="32"/>
          <w:szCs w:val="32"/>
        </w:rPr>
        <w:t>企业基本情况</w:t>
      </w:r>
    </w:p>
    <w:p w14:paraId="192B566A">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济宁腾锐汽车销售服务有限公司</w:t>
      </w:r>
    </w:p>
    <w:p w14:paraId="493EF6B7">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14:paraId="4CFD26B5">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14:paraId="1B4C61C2">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default" w:ascii="Times New Roman" w:hAnsi="Times New Roman" w:eastAsia="方正仿宋简体" w:cs="Times New Roman"/>
          <w:b/>
          <w:bCs/>
          <w:sz w:val="32"/>
          <w:szCs w:val="32"/>
          <w:lang w:val="en-US" w:eastAsia="zh-CN"/>
        </w:rPr>
        <w:t>500万</w:t>
      </w:r>
      <w:r>
        <w:rPr>
          <w:rFonts w:hint="default" w:ascii="Times New Roman" w:hAnsi="Times New Roman" w:eastAsia="方正仿宋简体" w:cs="Times New Roman"/>
          <w:b/>
          <w:bCs/>
          <w:sz w:val="32"/>
          <w:szCs w:val="32"/>
        </w:rPr>
        <w:t>元</w:t>
      </w:r>
    </w:p>
    <w:p w14:paraId="514035A8">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市高新区327国道南（虎标工业园内）</w:t>
      </w:r>
    </w:p>
    <w:p w14:paraId="6DF24597">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市高新区327国道南（虎标工业园内）</w:t>
      </w:r>
    </w:p>
    <w:p w14:paraId="31282187">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w:t>
      </w:r>
      <w:r>
        <w:rPr>
          <w:rFonts w:hint="default" w:ascii="Times New Roman" w:hAnsi="Times New Roman" w:eastAsia="方正仿宋简体" w:cs="Times New Roman"/>
          <w:b/>
          <w:bCs/>
          <w:sz w:val="32"/>
          <w:szCs w:val="32"/>
          <w:lang w:val="en-US" w:eastAsia="zh-CN"/>
        </w:rPr>
        <w:t>272000</w:t>
      </w:r>
    </w:p>
    <w:p w14:paraId="3BC537A8">
      <w:pPr>
        <w:pStyle w:val="6"/>
        <w:numPr>
          <w:ilvl w:val="0"/>
          <w:numId w:val="0"/>
        </w:numPr>
        <w:spacing w:line="600" w:lineRule="exact"/>
        <w:ind w:left="640" w:left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w:t>
      </w:r>
      <w:r>
        <w:rPr>
          <w:rFonts w:hint="default" w:ascii="Times New Roman" w:hAnsi="Times New Roman" w:eastAsia="方正仿宋简体" w:cs="Times New Roman"/>
          <w:b/>
          <w:bCs/>
          <w:sz w:val="32"/>
          <w:szCs w:val="32"/>
          <w:lang w:val="en-US" w:eastAsia="zh-CN"/>
        </w:rPr>
        <w:t>0537-2379677</w:t>
      </w:r>
    </w:p>
    <w:p w14:paraId="0DB70BB8">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14:paraId="69F7C081">
      <w:pPr>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p>
    <w:p w14:paraId="48BD8D7C">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腾锐汽车销售服务有限</w:t>
      </w:r>
      <w:r>
        <w:rPr>
          <w:rFonts w:hint="default" w:ascii="Times New Roman" w:hAnsi="Times New Roman" w:eastAsia="方正仿宋简体" w:cs="Times New Roman"/>
          <w:b/>
          <w:bCs/>
          <w:sz w:val="32"/>
          <w:szCs w:val="32"/>
        </w:rPr>
        <w:t>公司是长城汽车授权的哈弗品牌汽车、长城皮卡品牌汽车在济宁地区</w:t>
      </w:r>
      <w:r>
        <w:rPr>
          <w:rFonts w:hint="default"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kern w:val="2"/>
          <w:sz w:val="32"/>
          <w:szCs w:val="32"/>
          <w:lang w:val="en-US" w:eastAsia="zh-CN" w:bidi="ar-SA"/>
        </w:rPr>
        <w:t>2010</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kern w:val="2"/>
          <w:sz w:val="32"/>
          <w:szCs w:val="32"/>
          <w:lang w:val="en-US" w:eastAsia="zh-CN" w:bidi="ar-SA"/>
        </w:rPr>
        <w:t>9</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default" w:ascii="Times New Roman" w:hAnsi="Times New Roman" w:eastAsia="方正仿宋简体" w:cs="Times New Roman"/>
          <w:b/>
          <w:bCs/>
          <w:kern w:val="2"/>
          <w:sz w:val="32"/>
          <w:szCs w:val="32"/>
          <w:lang w:val="en-US" w:eastAsia="zh-CN" w:bidi="ar-SA"/>
        </w:rPr>
        <w:t>500</w:t>
      </w:r>
      <w:r>
        <w:rPr>
          <w:rFonts w:hint="default" w:ascii="Times New Roman" w:hAnsi="Times New Roman" w:eastAsia="方正仿宋简体" w:cs="Times New Roman"/>
          <w:b/>
          <w:bCs/>
          <w:sz w:val="32"/>
          <w:szCs w:val="32"/>
          <w:lang w:val="en-US" w:eastAsia="zh-CN"/>
        </w:rPr>
        <w:t>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14:paraId="4EB36B03">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腾锐汽车销售服务有限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近</w:t>
      </w:r>
      <w:r>
        <w:rPr>
          <w:rFonts w:hint="default" w:ascii="Times New Roman" w:hAnsi="Times New Roman" w:eastAsia="方正仿宋简体" w:cs="Times New Roman"/>
          <w:b/>
          <w:bCs/>
          <w:kern w:val="2"/>
          <w:sz w:val="32"/>
          <w:szCs w:val="32"/>
          <w:lang w:val="en-US" w:eastAsia="zh-CN" w:bidi="ar-SA"/>
        </w:rPr>
        <w:t>20</w:t>
      </w:r>
      <w:r>
        <w:rPr>
          <w:rFonts w:hint="default" w:ascii="Times New Roman" w:hAnsi="Times New Roman" w:eastAsia="方正仿宋简体" w:cs="Times New Roman"/>
          <w:b/>
          <w:bCs/>
          <w:sz w:val="32"/>
          <w:szCs w:val="32"/>
          <w:lang w:eastAsia="zh-CN"/>
        </w:rPr>
        <w:t>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w:t>
      </w:r>
      <w:r>
        <w:rPr>
          <w:rFonts w:hint="default" w:ascii="Times New Roman" w:hAnsi="Times New Roman" w:eastAsia="方正仿宋简体" w:cs="Times New Roman"/>
          <w:b/>
          <w:bCs/>
          <w:sz w:val="32"/>
          <w:szCs w:val="32"/>
          <w:lang w:eastAsia="zh-CN"/>
        </w:rPr>
        <w:t>腾锐</w:t>
      </w:r>
      <w:r>
        <w:rPr>
          <w:rFonts w:hint="default" w:ascii="Times New Roman" w:hAnsi="Times New Roman" w:eastAsia="方正仿宋简体" w:cs="Times New Roman"/>
          <w:b/>
          <w:bCs/>
          <w:sz w:val="32"/>
          <w:szCs w:val="32"/>
        </w:rPr>
        <w:t>汽车销售服务有限公司在厂家的地位也由一般的经销商进军到了核心战略经销商的地位。</w:t>
      </w:r>
    </w:p>
    <w:p w14:paraId="1DD51BB0">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腾锐</w:t>
      </w:r>
      <w:r>
        <w:rPr>
          <w:rFonts w:hint="default" w:ascii="Times New Roman" w:hAnsi="Times New Roman" w:eastAsia="方正仿宋简体" w:cs="Times New Roman"/>
          <w:b/>
          <w:bCs/>
          <w:sz w:val="32"/>
          <w:szCs w:val="32"/>
        </w:rPr>
        <w:t>汽车销售服务有限公司在创业初期，首先制定了符合企业自身发展的企业文化。企业的发展始终围绕文化相结合，一步一个脚印的开展企业经营管理工作。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争取一分钟、完善一分钟）</w:t>
      </w:r>
    </w:p>
    <w:p w14:paraId="659B4243">
      <w:pPr>
        <w:pStyle w:val="6"/>
        <w:numPr>
          <w:ilvl w:val="0"/>
          <w:numId w:val="0"/>
        </w:numPr>
        <w:spacing w:line="600" w:lineRule="exact"/>
        <w:ind w:leftChars="0" w:firstLine="643" w:firstLineChars="200"/>
        <w:rPr>
          <w:rFonts w:hint="default"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黑体简体" w:cs="Times New Roman"/>
          <w:b/>
          <w:bCs/>
          <w:color w:val="auto"/>
          <w:kern w:val="2"/>
          <w:sz w:val="32"/>
          <w:szCs w:val="32"/>
          <w:lang w:val="en-US" w:eastAsia="zh-CN" w:bidi="ar-SA"/>
        </w:rPr>
        <w:t>二、主要会计数据和财务指标</w:t>
      </w:r>
    </w:p>
    <w:p w14:paraId="3CAE537C">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1.截止到202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 xml:space="preserve">月底，营业收入 </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1664.86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万元，已交税费总额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 xml:space="preserve"> 7.66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14:paraId="1F1A8E6C">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2.资产总额：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4116.73</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减少839.85</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降</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16.94</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7ADBFD3D">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3.所有者权益：</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707.86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万元，比年初增加</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146.17</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万元，增幅为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26.02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4A2BF93D">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1664.86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14:paraId="20019A6E">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5.营业总成本：</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1518.74</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14:paraId="27F1880A">
      <w:pPr>
        <w:pStyle w:val="6"/>
        <w:spacing w:line="600" w:lineRule="exact"/>
        <w:ind w:left="0" w:leftChars="0" w:firstLine="643" w:firstLineChars="200"/>
        <w:rPr>
          <w:rFonts w:hint="default" w:ascii="Times New Roman" w:hAnsi="Times New Roman" w:eastAsia="方正黑体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简体" w:cs="Times New Roman"/>
          <w:b/>
          <w:bCs/>
          <w:color w:val="000000" w:themeColor="text1"/>
          <w:kern w:val="2"/>
          <w:sz w:val="32"/>
          <w:szCs w:val="32"/>
          <w:lang w:val="en-US" w:eastAsia="zh-CN" w:bidi="ar-SA"/>
          <w14:textFill>
            <w14:solidFill>
              <w14:schemeClr w14:val="tx1"/>
            </w14:solidFill>
          </w14:textFill>
        </w:rPr>
        <w:t>三、财务预算执行情况</w:t>
      </w:r>
    </w:p>
    <w:p w14:paraId="3BC69DF1">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1664.86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27.84</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24C0D33F">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2.利润总额：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146.17</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51.11</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4B097665">
      <w:pPr>
        <w:pStyle w:val="6"/>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四、董事及高级管理人员的任职情况</w:t>
      </w:r>
    </w:p>
    <w:p w14:paraId="1235B24A">
      <w:pPr>
        <w:pStyle w:val="6"/>
        <w:spacing w:line="600" w:lineRule="exact"/>
        <w:ind w:firstLine="643"/>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董事长：张巍</w:t>
      </w:r>
    </w:p>
    <w:p w14:paraId="3CFD9272">
      <w:pPr>
        <w:pStyle w:val="6"/>
        <w:spacing w:line="600" w:lineRule="exac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总经理：张广斌</w:t>
      </w:r>
    </w:p>
    <w:p w14:paraId="453BB5B2">
      <w:pPr>
        <w:pStyle w:val="6"/>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14:paraId="3C4A059F">
      <w:pPr>
        <w:pStyle w:val="6"/>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五、企业履行社会责任情况</w:t>
      </w:r>
    </w:p>
    <w:p w14:paraId="61D1CCD3">
      <w:pPr>
        <w:pStyle w:val="6"/>
        <w:spacing w:line="600" w:lineRule="exact"/>
        <w:rPr>
          <w:rFonts w:hint="default"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公司现有在册人员41人。</w:t>
      </w:r>
    </w:p>
    <w:p w14:paraId="480EE5E2">
      <w:pPr>
        <w:rPr>
          <w:rFonts w:asciiTheme="majorEastAsia" w:hAnsiTheme="majorEastAsia" w:eastAsiaTheme="majorEastAsia"/>
          <w:b/>
          <w:bCs/>
        </w:rPr>
      </w:pPr>
    </w:p>
    <w:p w14:paraId="01E1A28F">
      <w:pPr>
        <w:rPr>
          <w:b/>
          <w:bCs/>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AA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9B84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D9B84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3A762C0"/>
    <w:rsid w:val="05FE57FF"/>
    <w:rsid w:val="09FC6619"/>
    <w:rsid w:val="0A6C2012"/>
    <w:rsid w:val="0DF54C75"/>
    <w:rsid w:val="0FAC45EC"/>
    <w:rsid w:val="0FBD0C1A"/>
    <w:rsid w:val="104135F9"/>
    <w:rsid w:val="13861CA0"/>
    <w:rsid w:val="150F3CBC"/>
    <w:rsid w:val="16331C36"/>
    <w:rsid w:val="165A3666"/>
    <w:rsid w:val="16873D30"/>
    <w:rsid w:val="1D383FD6"/>
    <w:rsid w:val="20617F4A"/>
    <w:rsid w:val="21367027"/>
    <w:rsid w:val="24073A55"/>
    <w:rsid w:val="2435301D"/>
    <w:rsid w:val="287842BC"/>
    <w:rsid w:val="2DBF2EF6"/>
    <w:rsid w:val="2DC23B73"/>
    <w:rsid w:val="31B85284"/>
    <w:rsid w:val="31BE2E2E"/>
    <w:rsid w:val="322F40F5"/>
    <w:rsid w:val="33C40A9A"/>
    <w:rsid w:val="3A156B1B"/>
    <w:rsid w:val="3F8213B4"/>
    <w:rsid w:val="4081341A"/>
    <w:rsid w:val="40D730A3"/>
    <w:rsid w:val="4AA246B9"/>
    <w:rsid w:val="4E4036F5"/>
    <w:rsid w:val="4F5A56CA"/>
    <w:rsid w:val="5233431B"/>
    <w:rsid w:val="52784DDC"/>
    <w:rsid w:val="55276C44"/>
    <w:rsid w:val="56FE090D"/>
    <w:rsid w:val="58141F5D"/>
    <w:rsid w:val="59C92A28"/>
    <w:rsid w:val="5A81416A"/>
    <w:rsid w:val="5ED708E8"/>
    <w:rsid w:val="62B94A87"/>
    <w:rsid w:val="64E03F43"/>
    <w:rsid w:val="66377F53"/>
    <w:rsid w:val="67391B54"/>
    <w:rsid w:val="6CD541DD"/>
    <w:rsid w:val="71245578"/>
    <w:rsid w:val="71E52F59"/>
    <w:rsid w:val="77113D79"/>
    <w:rsid w:val="78137AFF"/>
    <w:rsid w:val="78305BD7"/>
    <w:rsid w:val="7C8F70DC"/>
    <w:rsid w:val="7EB0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828</Words>
  <Characters>969</Characters>
  <Lines>0</Lines>
  <Paragraphs>0</Paragraphs>
  <TotalTime>2</TotalTime>
  <ScaleCrop>false</ScaleCrop>
  <LinksUpToDate>false</LinksUpToDate>
  <CharactersWithSpaces>971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2026-05-04T15:39:30Z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B480EC5FD7FF47DC9B56B97D50CCA04A_13</vt:lpwstr>
  </property>
  <property fmtid="{D5CDD505-2E9C-101B-9397-08002B2CF9AE}" pid="4" name="KSOTemplateDocerSaveRecord">
    <vt:lpwstr>eyJoZGlkIjoiZjZkN2I4NDU0ZTQ2OWYwZWMxMzFlNjJlZTY3MDVmZTYiLCJ1c2VySWQiOiIxNDk5NDI1MjIyIn0=</vt:lpwstr>
  </property>
</Properties>
</file>