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91E5">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bCs/>
          <w:sz w:val="44"/>
          <w:szCs w:val="44"/>
        </w:rPr>
      </w:pPr>
      <w:r>
        <w:rPr>
          <w:rFonts w:hint="eastAsia" w:ascii="Times New Roman" w:hAnsi="Times New Roman" w:eastAsia="方正小标宋简体" w:cs="方正小标宋简体"/>
          <w:b/>
          <w:bCs/>
          <w:sz w:val="44"/>
          <w:szCs w:val="44"/>
        </w:rPr>
        <w:t>嘉祥玖贡置业有限公司</w:t>
      </w:r>
    </w:p>
    <w:p w14:paraId="5C1A78A9">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ascii="Times New Roman" w:hAnsi="Times New Roman" w:eastAsia="方正小标宋简体" w:cs="方正小标宋简体"/>
          <w:b/>
          <w:sz w:val="44"/>
          <w:szCs w:val="44"/>
        </w:rPr>
      </w:pPr>
      <w:r>
        <w:rPr>
          <w:rFonts w:hint="eastAsia" w:ascii="Times New Roman" w:hAnsi="Times New Roman" w:eastAsia="方正小标宋简体" w:cs="方正小标宋简体"/>
          <w:b/>
          <w:bCs/>
          <w:sz w:val="44"/>
          <w:szCs w:val="44"/>
        </w:rPr>
        <w:t>202</w:t>
      </w:r>
      <w:r>
        <w:rPr>
          <w:rFonts w:hint="eastAsia" w:ascii="Times New Roman" w:hAnsi="Times New Roman" w:eastAsia="方正小标宋简体" w:cs="方正小标宋简体"/>
          <w:b/>
          <w:bCs/>
          <w:sz w:val="44"/>
          <w:szCs w:val="44"/>
          <w:lang w:val="en-US" w:eastAsia="zh-CN"/>
        </w:rPr>
        <w:t>6</w:t>
      </w:r>
      <w:r>
        <w:rPr>
          <w:rFonts w:hint="eastAsia" w:ascii="Times New Roman" w:hAnsi="Times New Roman" w:eastAsia="方正小标宋简体" w:cs="方正小标宋简体"/>
          <w:b/>
          <w:bCs/>
          <w:sz w:val="44"/>
          <w:szCs w:val="44"/>
        </w:rPr>
        <w:t>年</w:t>
      </w:r>
      <w:r>
        <w:rPr>
          <w:rFonts w:hint="eastAsia" w:ascii="Times New Roman" w:hAnsi="Times New Roman" w:eastAsia="方正小标宋简体" w:cs="方正小标宋简体"/>
          <w:b/>
          <w:bCs/>
          <w:sz w:val="44"/>
          <w:szCs w:val="44"/>
          <w:lang w:eastAsia="zh-CN"/>
        </w:rPr>
        <w:t>第一</w:t>
      </w:r>
      <w:r>
        <w:rPr>
          <w:rFonts w:hint="eastAsia" w:ascii="Times New Roman" w:hAnsi="Times New Roman" w:eastAsia="方正小标宋简体" w:cs="方正小标宋简体"/>
          <w:b/>
          <w:bCs/>
          <w:sz w:val="44"/>
          <w:szCs w:val="44"/>
          <w:lang w:val="en-US" w:eastAsia="zh-CN"/>
        </w:rPr>
        <w:t>季度</w:t>
      </w:r>
      <w:r>
        <w:rPr>
          <w:rFonts w:hint="eastAsia" w:ascii="Times New Roman" w:hAnsi="Times New Roman" w:eastAsia="方正小标宋简体" w:cs="方正小标宋简体"/>
          <w:b/>
          <w:bCs/>
          <w:sz w:val="44"/>
          <w:szCs w:val="44"/>
        </w:rPr>
        <w:t>财务等重大信息公开</w:t>
      </w:r>
    </w:p>
    <w:p w14:paraId="4881DEAF">
      <w:pPr>
        <w:spacing w:line="600" w:lineRule="exact"/>
        <w:rPr>
          <w:rFonts w:ascii="Times New Roman" w:hAnsi="Times New Roman" w:eastAsia="方正小标宋简体" w:cs="Times New Roman"/>
          <w:b/>
          <w:bCs/>
          <w:sz w:val="32"/>
          <w:szCs w:val="32"/>
        </w:rPr>
      </w:pPr>
    </w:p>
    <w:p w14:paraId="25DD46A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ascii="Times New Roman" w:hAnsi="Times New Roman" w:eastAsia="方正黑体简体" w:cs="Times New Roman"/>
          <w:b/>
          <w:bCs/>
          <w:sz w:val="32"/>
          <w:szCs w:val="32"/>
        </w:rPr>
      </w:pPr>
      <w:r>
        <w:rPr>
          <w:rFonts w:hint="eastAsia" w:ascii="Times New Roman" w:hAnsi="Times New Roman" w:eastAsia="方正黑体简体" w:cs="Times New Roman"/>
          <w:b/>
          <w:bCs/>
          <w:kern w:val="2"/>
          <w:sz w:val="32"/>
          <w:szCs w:val="32"/>
          <w:lang w:val="en-US" w:eastAsia="zh-CN" w:bidi="ar-SA"/>
        </w:rPr>
        <w:t>一、</w:t>
      </w:r>
      <w:r>
        <w:rPr>
          <w:rFonts w:ascii="Times New Roman" w:hAnsi="Times New Roman" w:eastAsia="方正黑体简体" w:cs="Times New Roman"/>
          <w:b/>
          <w:bCs/>
          <w:sz w:val="32"/>
          <w:szCs w:val="32"/>
        </w:rPr>
        <w:t xml:space="preserve">公司基本情况 </w:t>
      </w:r>
    </w:p>
    <w:p w14:paraId="563FC41E">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（一）企业简介</w:t>
      </w:r>
    </w:p>
    <w:p w14:paraId="092044E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嘉祥玖贡置业有限公司是山东公用置业有限公司与九巨龙房地产开发集团</w:t>
      </w:r>
      <w:r>
        <w:rPr>
          <w:rFonts w:hint="eastAsia" w:ascii="Times New Roman" w:hAnsi="Times New Roman" w:eastAsia="方正仿宋简体" w:cs="Times New Roman"/>
          <w:b/>
          <w:bCs/>
          <w:sz w:val="32"/>
          <w:szCs w:val="32"/>
          <w:lang w:val="en-US" w:eastAsia="zh-CN"/>
        </w:rPr>
        <w:t>各</w:t>
      </w:r>
      <w:r>
        <w:rPr>
          <w:rFonts w:hint="default" w:ascii="Times New Roman" w:hAnsi="Times New Roman" w:eastAsia="方正仿宋简体" w:cs="Times New Roman"/>
          <w:b/>
          <w:bCs/>
          <w:sz w:val="32"/>
          <w:szCs w:val="32"/>
          <w:lang w:val="en-US" w:eastAsia="zh-CN"/>
        </w:rPr>
        <w:t>出资</w:t>
      </w:r>
      <w:r>
        <w:rPr>
          <w:rFonts w:hint="eastAsia" w:ascii="Times New Roman" w:hAnsi="Times New Roman" w:eastAsia="方正仿宋简体" w:cs="Times New Roman"/>
          <w:b/>
          <w:bCs/>
          <w:sz w:val="32"/>
          <w:szCs w:val="32"/>
          <w:lang w:val="en-US" w:eastAsia="zh-CN"/>
        </w:rPr>
        <w:t>50%</w:t>
      </w:r>
      <w:r>
        <w:rPr>
          <w:rFonts w:hint="default" w:ascii="Times New Roman" w:hAnsi="Times New Roman" w:eastAsia="方正仿宋简体" w:cs="Times New Roman"/>
          <w:b/>
          <w:bCs/>
          <w:sz w:val="32"/>
          <w:szCs w:val="32"/>
          <w:lang w:val="en-US" w:eastAsia="zh-CN"/>
        </w:rPr>
        <w:t>设立的企业</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成立于2018年8月</w:t>
      </w:r>
      <w:r>
        <w:rPr>
          <w:rFonts w:hint="eastAsia" w:ascii="Times New Roman" w:hAnsi="Times New Roman" w:eastAsia="方正仿宋简体" w:cs="Times New Roman"/>
          <w:b/>
          <w:bCs/>
          <w:sz w:val="32"/>
          <w:szCs w:val="32"/>
          <w:lang w:val="en-US" w:eastAsia="zh-CN"/>
        </w:rPr>
        <w:t>22日</w:t>
      </w:r>
      <w:r>
        <w:rPr>
          <w:rFonts w:hint="default" w:ascii="Times New Roman" w:hAnsi="Times New Roman" w:eastAsia="方正仿宋简体" w:cs="Times New Roman"/>
          <w:b/>
          <w:bCs/>
          <w:sz w:val="32"/>
          <w:szCs w:val="32"/>
          <w:lang w:val="en-US" w:eastAsia="zh-CN"/>
        </w:rPr>
        <w:t>，注册资本金2000万元</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经营范围包括房地产开发经营。（依法须经批准的项目，经相关部门批准后方可开展经营活动）</w:t>
      </w:r>
    </w:p>
    <w:p w14:paraId="6F3175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公司以“树立品牌形象，建设优质工程，打造诚信企业”为宗旨，一贯坚持以“市场为导向、开发为重点、经营为龙头、质量为根本”的开发理念和经营方针，致力于开发精品楼盘，优化嘉祥人居环境，精心为客户提供全方位、高品质的良好服务，走品牌化发展道路，开发项目以典雅恢弘的建筑，匠心独运的设计。</w:t>
      </w:r>
    </w:p>
    <w:p w14:paraId="1BEFF6A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公司开发项目为嘉祥公用丨九巨龙·山水龙城，位于嘉祥县嘉祥街道，小区坐拥优越的青山绿水资源---萌山公园、萌山湖，“依山、傍水、拥湖、赏园”的同时，也规划设计了和项目浑然一体的园内景观。基于对高端人居的深刻洞察，打造智能化社区，聚焦城市高端科技，小区内安装社区直饮水系统、智能入户、社区安防系统、可视对讲、快递智能收发系统、社区WIFI系统，科技融入社区的每一个角落。</w:t>
      </w:r>
    </w:p>
    <w:p w14:paraId="66AA99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楷体简体" w:cs="方正楷体简体"/>
          <w:b/>
          <w:bCs/>
          <w:sz w:val="32"/>
          <w:szCs w:val="32"/>
        </w:rPr>
      </w:pPr>
      <w:r>
        <w:rPr>
          <w:rFonts w:hint="eastAsia" w:ascii="Times New Roman" w:hAnsi="Times New Roman" w:eastAsia="方正楷体简体" w:cs="方正楷体简体"/>
          <w:b/>
          <w:bCs/>
          <w:sz w:val="32"/>
          <w:szCs w:val="32"/>
        </w:rPr>
        <w:t>（二）企业基本信息</w:t>
      </w:r>
    </w:p>
    <w:p w14:paraId="243F33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企业名称：嘉祥玖贡置业有限公司</w:t>
      </w:r>
    </w:p>
    <w:p w14:paraId="2EB66B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注册地址：山东省济宁市嘉祥县获麟街115号（自来水公司院内）3号楼二楼东侧北首第一间</w:t>
      </w:r>
    </w:p>
    <w:p w14:paraId="7E71C5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登记机关：济宁市嘉祥县行政审批服务局</w:t>
      </w:r>
    </w:p>
    <w:p w14:paraId="6E4B47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经营范围：房地产开发经营</w:t>
      </w:r>
    </w:p>
    <w:p w14:paraId="542897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企业类型：其他有限责任公司</w:t>
      </w:r>
    </w:p>
    <w:p w14:paraId="28521F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成立日期：2018年08月22日</w:t>
      </w:r>
    </w:p>
    <w:p w14:paraId="09DFCE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方正仿宋简体" w:cs="方正仿宋简体"/>
          <w:b/>
          <w:bCs/>
          <w:sz w:val="32"/>
          <w:szCs w:val="32"/>
        </w:rPr>
      </w:pPr>
      <w:r>
        <w:rPr>
          <w:rFonts w:hint="eastAsia" w:ascii="Times New Roman" w:hAnsi="Times New Roman" w:eastAsia="方正楷体简体" w:cs="方正楷体简体"/>
          <w:b/>
          <w:bCs/>
          <w:sz w:val="32"/>
          <w:szCs w:val="32"/>
        </w:rPr>
        <w:t>（三）机构设置</w:t>
      </w:r>
    </w:p>
    <w:p w14:paraId="6D9712D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rPr>
        <w:t>公司设董事会，成员5人；设总经理1人；设6个部室、1个项目部，分别为：综合部、财务部、工程</w:t>
      </w:r>
      <w:bookmarkStart w:id="0" w:name="_GoBack"/>
      <w:bookmarkEnd w:id="0"/>
      <w:r>
        <w:rPr>
          <w:rFonts w:hint="eastAsia" w:ascii="Times New Roman" w:hAnsi="Times New Roman" w:eastAsia="方正仿宋简体" w:cs="方正仿宋简体"/>
          <w:b/>
          <w:bCs/>
          <w:sz w:val="32"/>
          <w:szCs w:val="32"/>
        </w:rPr>
        <w:t>部、成本部、采购部、销售部、山水龙城项目部。</w:t>
      </w:r>
    </w:p>
    <w:tbl>
      <w:tblPr>
        <w:tblStyle w:val="5"/>
        <w:tblpPr w:leftFromText="180" w:rightFromText="180" w:vertAnchor="text" w:horzAnchor="page" w:tblpX="1630" w:tblpY="992"/>
        <w:tblOverlap w:val="never"/>
        <w:tblW w:w="8940" w:type="dxa"/>
        <w:tblInd w:w="0" w:type="dxa"/>
        <w:tblLayout w:type="autofit"/>
        <w:tblCellMar>
          <w:top w:w="0" w:type="dxa"/>
          <w:left w:w="108" w:type="dxa"/>
          <w:bottom w:w="0" w:type="dxa"/>
          <w:right w:w="108" w:type="dxa"/>
        </w:tblCellMar>
      </w:tblPr>
      <w:tblGrid>
        <w:gridCol w:w="1317"/>
        <w:gridCol w:w="1769"/>
        <w:gridCol w:w="2042"/>
        <w:gridCol w:w="2042"/>
        <w:gridCol w:w="1770"/>
      </w:tblGrid>
      <w:tr w14:paraId="1D3C4EF1">
        <w:tblPrEx>
          <w:tblCellMar>
            <w:top w:w="0" w:type="dxa"/>
            <w:left w:w="108" w:type="dxa"/>
            <w:bottom w:w="0" w:type="dxa"/>
            <w:right w:w="108" w:type="dxa"/>
          </w:tblCellMar>
        </w:tblPrEx>
        <w:trPr>
          <w:trHeight w:val="525" w:hRule="atLeast"/>
        </w:trPr>
        <w:tc>
          <w:tcPr>
            <w:tcW w:w="8940" w:type="dxa"/>
            <w:gridSpan w:val="5"/>
            <w:tcBorders>
              <w:top w:val="nil"/>
              <w:left w:val="nil"/>
              <w:bottom w:val="nil"/>
              <w:right w:val="nil"/>
            </w:tcBorders>
            <w:shd w:val="clear" w:color="auto" w:fill="auto"/>
            <w:noWrap/>
            <w:vAlign w:val="center"/>
          </w:tcPr>
          <w:p w14:paraId="5D49B8EF">
            <w:pPr>
              <w:widowControl/>
              <w:textAlignment w:val="center"/>
              <w:rPr>
                <w:rFonts w:ascii="Times New Roman" w:hAnsi="Times New Roman" w:eastAsia="宋体" w:cs="宋体"/>
                <w:color w:val="000000"/>
                <w:sz w:val="22"/>
                <w:szCs w:val="22"/>
              </w:rPr>
            </w:pPr>
            <w:r>
              <w:rPr>
                <w:rFonts w:hint="eastAsia" w:ascii="Times New Roman" w:hAnsi="Times New Roman" w:eastAsia="宋体" w:cs="宋体"/>
                <w:color w:val="000000"/>
                <w:kern w:val="0"/>
                <w:sz w:val="22"/>
                <w:szCs w:val="22"/>
              </w:rPr>
              <w:t>单位： 嘉祥玖贡置业有限公司                                           单位：万元</w:t>
            </w:r>
          </w:p>
        </w:tc>
      </w:tr>
      <w:tr w14:paraId="26D5A58C">
        <w:tblPrEx>
          <w:tblCellMar>
            <w:top w:w="0" w:type="dxa"/>
            <w:left w:w="108" w:type="dxa"/>
            <w:bottom w:w="0" w:type="dxa"/>
            <w:right w:w="108" w:type="dxa"/>
          </w:tblCellMar>
        </w:tblPrEx>
        <w:trPr>
          <w:trHeight w:val="600" w:hRule="atLeast"/>
        </w:trPr>
        <w:tc>
          <w:tcPr>
            <w:tcW w:w="1317"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337D932E">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176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3C94C8B">
            <w:pPr>
              <w:keepNext w:val="0"/>
              <w:keepLines w:val="0"/>
              <w:widowControl/>
              <w:suppressLineNumbers w:val="0"/>
              <w:jc w:val="center"/>
              <w:textAlignment w:val="center"/>
              <w:rPr>
                <w:rFonts w:ascii="Times New Roman" w:hAnsi="Times New Roman" w:eastAsia="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本期金额</w:t>
            </w:r>
          </w:p>
        </w:tc>
        <w:tc>
          <w:tcPr>
            <w:tcW w:w="2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54056BB">
            <w:pPr>
              <w:keepNext w:val="0"/>
              <w:keepLines w:val="0"/>
              <w:widowControl/>
              <w:suppressLineNumbers w:val="0"/>
              <w:jc w:val="center"/>
              <w:textAlignment w:val="center"/>
              <w:rPr>
                <w:rFonts w:ascii="Times New Roman" w:hAnsi="Times New Roman" w:eastAsia="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年度预算目标</w:t>
            </w:r>
          </w:p>
        </w:tc>
        <w:tc>
          <w:tcPr>
            <w:tcW w:w="2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870409">
            <w:pPr>
              <w:keepNext w:val="0"/>
              <w:keepLines w:val="0"/>
              <w:widowControl/>
              <w:suppressLineNumbers w:val="0"/>
              <w:jc w:val="center"/>
              <w:textAlignment w:val="center"/>
              <w:rPr>
                <w:rFonts w:ascii="Times New Roman" w:hAnsi="Times New Roman" w:eastAsia="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预算完成情况</w:t>
            </w:r>
          </w:p>
        </w:tc>
        <w:tc>
          <w:tcPr>
            <w:tcW w:w="177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0A8B1FB">
            <w:pPr>
              <w:keepNext w:val="0"/>
              <w:keepLines w:val="0"/>
              <w:widowControl/>
              <w:suppressLineNumbers w:val="0"/>
              <w:jc w:val="center"/>
              <w:textAlignment w:val="center"/>
              <w:rPr>
                <w:rFonts w:ascii="Times New Roman" w:hAnsi="Times New Roman" w:eastAsia="宋体" w:cs="宋体"/>
                <w:color w:val="000000"/>
                <w:sz w:val="22"/>
                <w:szCs w:val="22"/>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上年同期</w:t>
            </w:r>
          </w:p>
        </w:tc>
      </w:tr>
      <w:tr w14:paraId="72724134">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D92B0">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营业总收入</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AC9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10,422.00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E3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104,839.50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D8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9.94%</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46A0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15,313.00</w:t>
            </w:r>
          </w:p>
        </w:tc>
      </w:tr>
      <w:tr w14:paraId="5C329CEA">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2C362F">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营业总成本</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760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9,074.00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EAC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90,068.09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01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10.07%</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2CA24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11,736.00</w:t>
            </w:r>
          </w:p>
        </w:tc>
      </w:tr>
      <w:tr w14:paraId="0C018E6B">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6F134B">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利润总额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DD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1,348.00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47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14,771.54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A5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9.13%</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FF14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3,577.00</w:t>
            </w:r>
          </w:p>
        </w:tc>
      </w:tr>
      <w:tr w14:paraId="5787A52A">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09E22E">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净利润</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A4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1,011.00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7B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11,080.24</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CF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9.12%</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4533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2,683.00</w:t>
            </w:r>
          </w:p>
        </w:tc>
      </w:tr>
      <w:tr w14:paraId="25956764">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25D2BF">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资产总额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46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202,964.00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5C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115,335.89</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12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175.98%</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7475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230,713.00</w:t>
            </w:r>
          </w:p>
        </w:tc>
      </w:tr>
      <w:tr w14:paraId="07E50D01">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A00C12">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负债总额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EA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182,327.00</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D0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84,607.65</w:t>
            </w:r>
          </w:p>
        </w:tc>
        <w:tc>
          <w:tcPr>
            <w:tcW w:w="2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D4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215.50%</w:t>
            </w:r>
          </w:p>
        </w:tc>
        <w:tc>
          <w:tcPr>
            <w:tcW w:w="177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C688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217,684.00</w:t>
            </w:r>
          </w:p>
        </w:tc>
      </w:tr>
      <w:tr w14:paraId="6C929FB4">
        <w:tblPrEx>
          <w:tblCellMar>
            <w:top w:w="0" w:type="dxa"/>
            <w:left w:w="108" w:type="dxa"/>
            <w:bottom w:w="0" w:type="dxa"/>
            <w:right w:w="108" w:type="dxa"/>
          </w:tblCellMar>
        </w:tblPrEx>
        <w:trPr>
          <w:trHeight w:val="600" w:hRule="atLeast"/>
        </w:trPr>
        <w:tc>
          <w:tcPr>
            <w:tcW w:w="1317"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52E6A226">
            <w:pPr>
              <w:keepNext w:val="0"/>
              <w:keepLines w:val="0"/>
              <w:widowControl/>
              <w:suppressLineNumbers w:val="0"/>
              <w:jc w:val="center"/>
              <w:textAlignment w:val="center"/>
              <w:rPr>
                <w:rFonts w:ascii="Times New Roman" w:hAnsi="Times New Roman"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所有者权益</w:t>
            </w:r>
          </w:p>
        </w:tc>
        <w:tc>
          <w:tcPr>
            <w:tcW w:w="176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3650F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20,637.00</w:t>
            </w:r>
          </w:p>
        </w:tc>
        <w:tc>
          <w:tcPr>
            <w:tcW w:w="204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155F7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30,728.24</w:t>
            </w:r>
          </w:p>
        </w:tc>
        <w:tc>
          <w:tcPr>
            <w:tcW w:w="2042"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B2F7A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67.16%</w:t>
            </w:r>
          </w:p>
        </w:tc>
        <w:tc>
          <w:tcPr>
            <w:tcW w:w="177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4B297C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13,029.00</w:t>
            </w:r>
          </w:p>
        </w:tc>
      </w:tr>
    </w:tbl>
    <w:p w14:paraId="206F29FA">
      <w:pPr>
        <w:numPr>
          <w:ilvl w:val="0"/>
          <w:numId w:val="0"/>
        </w:numPr>
        <w:snapToGrid w:val="0"/>
        <w:spacing w:line="600" w:lineRule="exact"/>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黑体简体" w:cs="Times New Roman"/>
          <w:b/>
          <w:kern w:val="2"/>
          <w:sz w:val="32"/>
          <w:szCs w:val="32"/>
          <w:lang w:val="en-US" w:eastAsia="zh-CN" w:bidi="ar-SA"/>
        </w:rPr>
        <w:t>二、</w:t>
      </w:r>
      <w:r>
        <w:rPr>
          <w:rFonts w:ascii="Times New Roman" w:hAnsi="Times New Roman" w:eastAsia="方正黑体简体" w:cs="Times New Roman"/>
          <w:b/>
          <w:bCs/>
          <w:sz w:val="32"/>
          <w:szCs w:val="32"/>
        </w:rPr>
        <w:t>主要会计数据和财务指标</w:t>
      </w:r>
    </w:p>
    <w:p w14:paraId="3E49CB46">
      <w:pPr>
        <w:snapToGrid w:val="0"/>
        <w:spacing w:line="600" w:lineRule="exact"/>
        <w:ind w:firstLine="643" w:firstLineChars="200"/>
        <w:rPr>
          <w:rFonts w:ascii="Times New Roman" w:hAnsi="Times New Roman" w:eastAsia="方正小标宋简体" w:cs="Times New Roman"/>
          <w:b/>
          <w:bCs/>
          <w:sz w:val="32"/>
          <w:szCs w:val="32"/>
        </w:rPr>
      </w:pPr>
      <w:r>
        <w:rPr>
          <w:rFonts w:hint="eastAsia" w:ascii="Times New Roman" w:hAnsi="Times New Roman" w:eastAsia="方正黑体简体" w:cs="Times New Roman"/>
          <w:b/>
          <w:bCs/>
          <w:sz w:val="32"/>
          <w:szCs w:val="32"/>
        </w:rPr>
        <w:t>三</w:t>
      </w:r>
      <w:r>
        <w:rPr>
          <w:rFonts w:ascii="Times New Roman" w:hAnsi="Times New Roman" w:eastAsia="方正黑体简体" w:cs="Times New Roman"/>
          <w:b/>
          <w:bCs/>
          <w:sz w:val="32"/>
          <w:szCs w:val="32"/>
        </w:rPr>
        <w:t>、财务预算执行情况</w:t>
      </w:r>
    </w:p>
    <w:p w14:paraId="4719DFF2">
      <w:pPr>
        <w:spacing w:line="560" w:lineRule="exact"/>
        <w:ind w:firstLine="643" w:firstLineChars="200"/>
        <w:rPr>
          <w:rFonts w:hint="eastAsia" w:ascii="Times New Roman" w:hAnsi="Times New Roman" w:eastAsia="方正仿宋简体" w:cs="方正仿宋简体"/>
          <w:b/>
          <w:bCs/>
          <w:sz w:val="32"/>
          <w:szCs w:val="32"/>
        </w:rPr>
      </w:pPr>
      <w:r>
        <w:rPr>
          <w:rFonts w:hint="eastAsia" w:ascii="Times New Roman" w:hAnsi="Times New Roman" w:eastAsia="方正仿宋简体" w:cs="方正仿宋简体"/>
          <w:b/>
          <w:bCs/>
          <w:sz w:val="32"/>
          <w:szCs w:val="32"/>
          <w:lang w:val="en-US" w:eastAsia="zh-CN"/>
        </w:rPr>
        <w:t>2026年第一季度</w:t>
      </w:r>
      <w:r>
        <w:rPr>
          <w:rFonts w:hint="eastAsia" w:ascii="Times New Roman" w:hAnsi="Times New Roman" w:eastAsia="方正仿宋简体" w:cs="方正仿宋简体"/>
          <w:b/>
          <w:bCs/>
          <w:sz w:val="32"/>
          <w:szCs w:val="32"/>
        </w:rPr>
        <w:t>累计实现营业收入</w:t>
      </w:r>
      <w:r>
        <w:rPr>
          <w:rFonts w:hint="eastAsia" w:ascii="Times New Roman" w:hAnsi="Times New Roman" w:eastAsia="方正仿宋简体" w:cs="方正仿宋简体"/>
          <w:b/>
          <w:bCs/>
          <w:sz w:val="32"/>
          <w:szCs w:val="32"/>
          <w:lang w:val="en-US" w:eastAsia="zh-CN"/>
        </w:rPr>
        <w:t>1.04亿</w:t>
      </w:r>
      <w:r>
        <w:rPr>
          <w:rFonts w:hint="eastAsia" w:ascii="Times New Roman" w:hAnsi="Times New Roman" w:eastAsia="方正仿宋简体" w:cs="方正仿宋简体"/>
          <w:b/>
          <w:bCs/>
          <w:sz w:val="32"/>
          <w:szCs w:val="32"/>
        </w:rPr>
        <w:t>元</w:t>
      </w:r>
      <w:r>
        <w:rPr>
          <w:rFonts w:hint="eastAsia" w:ascii="Times New Roman" w:hAnsi="Times New Roman" w:eastAsia="方正仿宋简体" w:cs="方正仿宋简体"/>
          <w:b/>
          <w:bCs/>
          <w:sz w:val="32"/>
          <w:szCs w:val="32"/>
          <w:lang w:eastAsia="zh-CN"/>
        </w:rPr>
        <w:t>，较全年预算目标</w:t>
      </w:r>
      <w:r>
        <w:rPr>
          <w:rFonts w:hint="eastAsia" w:ascii="Times New Roman" w:hAnsi="Times New Roman" w:eastAsia="方正仿宋简体" w:cs="方正仿宋简体"/>
          <w:b/>
          <w:bCs/>
          <w:sz w:val="32"/>
          <w:szCs w:val="32"/>
          <w:lang w:val="en-US" w:eastAsia="zh-CN"/>
        </w:rPr>
        <w:t>10.48</w:t>
      </w:r>
      <w:r>
        <w:rPr>
          <w:rFonts w:hint="eastAsia" w:ascii="Times New Roman" w:hAnsi="Times New Roman" w:eastAsia="方正仿宋简体" w:cs="方正仿宋简体"/>
          <w:b/>
          <w:bCs/>
          <w:sz w:val="32"/>
          <w:szCs w:val="32"/>
          <w:lang w:eastAsia="zh-CN"/>
        </w:rPr>
        <w:t>亿元完成</w:t>
      </w:r>
      <w:r>
        <w:rPr>
          <w:rFonts w:hint="eastAsia" w:ascii="Times New Roman" w:hAnsi="Times New Roman" w:eastAsia="方正仿宋简体" w:cs="方正仿宋简体"/>
          <w:b/>
          <w:bCs/>
          <w:sz w:val="32"/>
          <w:szCs w:val="32"/>
          <w:lang w:val="en-US" w:eastAsia="zh-CN"/>
        </w:rPr>
        <w:t>9.94</w:t>
      </w:r>
      <w:r>
        <w:rPr>
          <w:rFonts w:hint="eastAsia" w:ascii="Times New Roman" w:hAnsi="Times New Roman" w:eastAsia="方正仿宋简体" w:cs="方正仿宋简体"/>
          <w:b/>
          <w:bCs/>
          <w:sz w:val="32"/>
          <w:szCs w:val="32"/>
          <w:lang w:eastAsia="zh-CN"/>
        </w:rPr>
        <w:t>%</w:t>
      </w:r>
      <w:r>
        <w:rPr>
          <w:rFonts w:hint="eastAsia" w:ascii="Times New Roman" w:hAnsi="Times New Roman" w:eastAsia="方正仿宋简体" w:cs="方正仿宋简体"/>
          <w:b/>
          <w:bCs/>
          <w:sz w:val="32"/>
          <w:szCs w:val="32"/>
        </w:rPr>
        <w:t>；累计实现利润总额</w:t>
      </w:r>
      <w:r>
        <w:rPr>
          <w:rFonts w:hint="eastAsia" w:ascii="Times New Roman" w:hAnsi="Times New Roman" w:eastAsia="方正仿宋简体" w:cs="方正仿宋简体"/>
          <w:b/>
          <w:bCs/>
          <w:sz w:val="32"/>
          <w:szCs w:val="32"/>
          <w:lang w:val="en-US" w:eastAsia="zh-CN"/>
        </w:rPr>
        <w:t>1348万</w:t>
      </w:r>
      <w:r>
        <w:rPr>
          <w:rFonts w:hint="eastAsia" w:ascii="Times New Roman" w:hAnsi="Times New Roman" w:eastAsia="方正仿宋简体" w:cs="方正仿宋简体"/>
          <w:b/>
          <w:bCs/>
          <w:sz w:val="32"/>
          <w:szCs w:val="32"/>
        </w:rPr>
        <w:t>元，较全年预算目标</w:t>
      </w:r>
      <w:r>
        <w:rPr>
          <w:rFonts w:hint="eastAsia" w:ascii="Times New Roman" w:hAnsi="Times New Roman" w:eastAsia="方正仿宋简体" w:cs="方正仿宋简体"/>
          <w:b/>
          <w:bCs/>
          <w:sz w:val="32"/>
          <w:szCs w:val="32"/>
          <w:lang w:val="en-US" w:eastAsia="zh-CN"/>
        </w:rPr>
        <w:t>1.48亿</w:t>
      </w:r>
      <w:r>
        <w:rPr>
          <w:rFonts w:hint="eastAsia" w:ascii="Times New Roman" w:hAnsi="Times New Roman" w:eastAsia="方正仿宋简体" w:cs="方正仿宋简体"/>
          <w:b/>
          <w:bCs/>
          <w:sz w:val="32"/>
          <w:szCs w:val="32"/>
        </w:rPr>
        <w:t>元完成</w:t>
      </w:r>
      <w:r>
        <w:rPr>
          <w:rFonts w:hint="eastAsia" w:ascii="Times New Roman" w:hAnsi="Times New Roman" w:eastAsia="方正仿宋简体" w:cs="方正仿宋简体"/>
          <w:b/>
          <w:bCs/>
          <w:sz w:val="32"/>
          <w:szCs w:val="32"/>
          <w:lang w:val="en-US" w:eastAsia="zh-CN"/>
        </w:rPr>
        <w:t>9.13%</w:t>
      </w:r>
      <w:r>
        <w:rPr>
          <w:rFonts w:hint="eastAsia" w:ascii="Times New Roman" w:hAnsi="Times New Roman" w:eastAsia="方正仿宋简体" w:cs="方正仿宋简体"/>
          <w:b/>
          <w:bCs/>
          <w:sz w:val="32"/>
          <w:szCs w:val="32"/>
        </w:rPr>
        <w:t>；</w:t>
      </w:r>
      <w:r>
        <w:rPr>
          <w:rFonts w:hint="eastAsia" w:ascii="Times New Roman" w:hAnsi="Times New Roman" w:eastAsia="方正仿宋简体" w:cs="方正仿宋简体"/>
          <w:b/>
          <w:bCs/>
          <w:sz w:val="32"/>
          <w:szCs w:val="32"/>
          <w:lang w:val="en-US" w:eastAsia="zh-CN"/>
        </w:rPr>
        <w:t>3月底</w:t>
      </w:r>
      <w:r>
        <w:rPr>
          <w:rFonts w:hint="eastAsia" w:ascii="Times New Roman" w:hAnsi="Times New Roman" w:eastAsia="方正仿宋简体" w:cs="方正仿宋简体"/>
          <w:b/>
          <w:bCs/>
          <w:sz w:val="32"/>
          <w:szCs w:val="32"/>
        </w:rPr>
        <w:t>资产负债率</w:t>
      </w:r>
      <w:r>
        <w:rPr>
          <w:rFonts w:hint="eastAsia" w:ascii="Times New Roman" w:hAnsi="Times New Roman" w:eastAsia="方正仿宋简体" w:cs="方正仿宋简体"/>
          <w:b/>
          <w:bCs/>
          <w:sz w:val="32"/>
          <w:szCs w:val="32"/>
          <w:lang w:val="en-US" w:eastAsia="zh-CN"/>
        </w:rPr>
        <w:t>89.8%</w:t>
      </w:r>
      <w:r>
        <w:rPr>
          <w:rFonts w:hint="eastAsia" w:ascii="Times New Roman" w:hAnsi="Times New Roman" w:eastAsia="方正仿宋简体" w:cs="方正仿宋简体"/>
          <w:b/>
          <w:bCs/>
          <w:sz w:val="32"/>
          <w:szCs w:val="32"/>
        </w:rPr>
        <w:t>，比去年同期的</w:t>
      </w:r>
      <w:r>
        <w:rPr>
          <w:rFonts w:hint="eastAsia" w:ascii="Times New Roman" w:hAnsi="Times New Roman" w:eastAsia="方正仿宋简体" w:cs="方正仿宋简体"/>
          <w:b/>
          <w:bCs/>
          <w:sz w:val="32"/>
          <w:szCs w:val="32"/>
          <w:lang w:val="en-US" w:eastAsia="zh-CN"/>
        </w:rPr>
        <w:t>94.4%下降</w:t>
      </w:r>
      <w:r>
        <w:rPr>
          <w:rFonts w:hint="eastAsia" w:ascii="Times New Roman" w:hAnsi="Times New Roman" w:eastAsia="方正仿宋简体" w:cs="方正仿宋简体"/>
          <w:b/>
          <w:bCs/>
          <w:sz w:val="32"/>
          <w:szCs w:val="32"/>
        </w:rPr>
        <w:t>了</w:t>
      </w:r>
      <w:r>
        <w:rPr>
          <w:rFonts w:hint="eastAsia" w:ascii="Times New Roman" w:hAnsi="Times New Roman" w:eastAsia="方正仿宋简体" w:cs="方正仿宋简体"/>
          <w:b/>
          <w:bCs/>
          <w:sz w:val="32"/>
          <w:szCs w:val="32"/>
          <w:lang w:val="en-US" w:eastAsia="zh-CN"/>
        </w:rPr>
        <w:t>4.6</w:t>
      </w:r>
      <w:r>
        <w:rPr>
          <w:rFonts w:hint="eastAsia" w:ascii="Times New Roman" w:hAnsi="Times New Roman" w:eastAsia="方正仿宋简体" w:cs="方正仿宋简体"/>
          <w:b/>
          <w:bCs/>
          <w:sz w:val="32"/>
          <w:szCs w:val="32"/>
        </w:rPr>
        <w:t>个百分点。</w:t>
      </w:r>
    </w:p>
    <w:p w14:paraId="7F9ACC4C">
      <w:pPr>
        <w:snapToGrid w:val="0"/>
        <w:spacing w:line="600" w:lineRule="exact"/>
        <w:ind w:firstLine="643" w:firstLineChars="200"/>
        <w:rPr>
          <w:rFonts w:hint="eastAsia" w:ascii="Times New Roman" w:hAnsi="Times New Roman" w:eastAsia="方正黑体简体" w:cs="Times New Roman"/>
          <w:b/>
          <w:bCs/>
          <w:sz w:val="32"/>
          <w:szCs w:val="32"/>
          <w:lang w:val="en-US" w:eastAsia="zh-CN"/>
        </w:rPr>
      </w:pPr>
      <w:r>
        <w:rPr>
          <w:rFonts w:hint="eastAsia" w:ascii="Times New Roman" w:hAnsi="Times New Roman" w:eastAsia="方正黑体简体" w:cs="Times New Roman"/>
          <w:b/>
          <w:bCs/>
          <w:sz w:val="32"/>
          <w:szCs w:val="32"/>
          <w:lang w:val="en-US" w:eastAsia="zh-CN"/>
        </w:rPr>
        <w:t>四</w:t>
      </w:r>
      <w:r>
        <w:rPr>
          <w:rFonts w:ascii="Times New Roman" w:hAnsi="Times New Roman" w:eastAsia="方正黑体简体" w:cs="Times New Roman"/>
          <w:b/>
          <w:bCs/>
          <w:sz w:val="32"/>
          <w:szCs w:val="32"/>
        </w:rPr>
        <w:t>、</w:t>
      </w:r>
      <w:r>
        <w:rPr>
          <w:rFonts w:hint="eastAsia" w:ascii="Times New Roman" w:hAnsi="Times New Roman" w:eastAsia="方正黑体简体" w:cs="Times New Roman"/>
          <w:b/>
          <w:bCs/>
          <w:sz w:val="32"/>
          <w:szCs w:val="32"/>
          <w:lang w:val="en-US" w:eastAsia="zh-CN"/>
        </w:rPr>
        <w:t>2026年第一季度内发生的重大事项及对公司的影响</w:t>
      </w:r>
    </w:p>
    <w:p w14:paraId="3CD062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lang w:val="en-US" w:eastAsia="zh-CN"/>
        </w:rPr>
      </w:pPr>
      <w:r>
        <w:rPr>
          <w:rFonts w:hint="default" w:ascii="Times New Roman" w:hAnsi="Times New Roman" w:eastAsia="方正仿宋简体" w:cs="Times New Roman"/>
          <w:b/>
          <w:bCs/>
          <w:sz w:val="32"/>
          <w:szCs w:val="32"/>
          <w:lang w:val="en-US" w:eastAsia="zh-CN"/>
        </w:rPr>
        <w:t>嘉祥玖贡置业有限公司</w:t>
      </w:r>
      <w:r>
        <w:rPr>
          <w:rFonts w:hint="eastAsia" w:ascii="Times New Roman" w:hAnsi="Times New Roman" w:eastAsia="方正仿宋简体" w:cs="Times New Roman"/>
          <w:b/>
          <w:bCs/>
          <w:sz w:val="32"/>
          <w:szCs w:val="32"/>
          <w:lang w:val="en-US" w:eastAsia="zh-CN"/>
        </w:rPr>
        <w:t>2026年第一季度内未发生</w:t>
      </w:r>
      <w:r>
        <w:rPr>
          <w:rFonts w:hint="eastAsia" w:ascii="Times New Roman" w:hAnsi="Times New Roman" w:eastAsia="方正仿宋简体" w:cs="方正仿宋简体"/>
          <w:b/>
          <w:bCs/>
          <w:sz w:val="32"/>
          <w:szCs w:val="32"/>
          <w:lang w:val="en-US" w:eastAsia="zh-CN"/>
        </w:rPr>
        <w:t>重大事项。</w:t>
      </w:r>
    </w:p>
    <w:p w14:paraId="6F89F2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lang w:val="en-US" w:eastAsia="zh-CN"/>
        </w:rPr>
      </w:pPr>
    </w:p>
    <w:p w14:paraId="0688B0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lang w:val="en-US" w:eastAsia="zh-CN"/>
        </w:rPr>
      </w:pPr>
    </w:p>
    <w:p w14:paraId="441994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方正仿宋简体"/>
          <w:b/>
          <w:bCs/>
          <w:sz w:val="32"/>
          <w:szCs w:val="32"/>
          <w:lang w:val="en-US" w:eastAsia="zh-CN"/>
        </w:rPr>
      </w:pPr>
    </w:p>
    <w:p w14:paraId="7B405A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方正仿宋简体"/>
          <w:b/>
          <w:bCs/>
          <w:sz w:val="32"/>
          <w:szCs w:val="32"/>
          <w:lang w:val="en-US" w:eastAsia="zh-CN"/>
        </w:rPr>
      </w:pPr>
      <w:r>
        <w:rPr>
          <w:rFonts w:hint="eastAsia" w:ascii="Times New Roman" w:hAnsi="Times New Roman" w:eastAsia="方正仿宋简体" w:cs="方正仿宋简体"/>
          <w:b/>
          <w:bCs/>
          <w:sz w:val="32"/>
          <w:szCs w:val="32"/>
          <w:lang w:val="en-US" w:eastAsia="zh-CN"/>
        </w:rPr>
        <w:t xml:space="preserve">                 </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1B9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AD7EC">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AD7EC">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NGYxNDlhOGMxM2M2NGQwNTVjMzllMGQ4ZGMyNjcifQ=="/>
  </w:docVars>
  <w:rsids>
    <w:rsidRoot w:val="28E8704B"/>
    <w:rsid w:val="00023E53"/>
    <w:rsid w:val="00064C10"/>
    <w:rsid w:val="000B3C65"/>
    <w:rsid w:val="000B768B"/>
    <w:rsid w:val="000F4906"/>
    <w:rsid w:val="001048D2"/>
    <w:rsid w:val="001225CF"/>
    <w:rsid w:val="0016636E"/>
    <w:rsid w:val="00173818"/>
    <w:rsid w:val="001E70D3"/>
    <w:rsid w:val="001F0930"/>
    <w:rsid w:val="00243895"/>
    <w:rsid w:val="002659B0"/>
    <w:rsid w:val="0027474F"/>
    <w:rsid w:val="002F0D05"/>
    <w:rsid w:val="0033664A"/>
    <w:rsid w:val="00387CC5"/>
    <w:rsid w:val="003A2581"/>
    <w:rsid w:val="003B2746"/>
    <w:rsid w:val="003C0776"/>
    <w:rsid w:val="003D4ECA"/>
    <w:rsid w:val="003F200B"/>
    <w:rsid w:val="0040651C"/>
    <w:rsid w:val="004B3BB3"/>
    <w:rsid w:val="004B51FE"/>
    <w:rsid w:val="004C19A7"/>
    <w:rsid w:val="004F2DF9"/>
    <w:rsid w:val="005304BC"/>
    <w:rsid w:val="00545BAB"/>
    <w:rsid w:val="00590DF4"/>
    <w:rsid w:val="005C6338"/>
    <w:rsid w:val="005D0127"/>
    <w:rsid w:val="00646654"/>
    <w:rsid w:val="00663457"/>
    <w:rsid w:val="006C787C"/>
    <w:rsid w:val="007534E3"/>
    <w:rsid w:val="007B1BD4"/>
    <w:rsid w:val="007D5E77"/>
    <w:rsid w:val="00814BA3"/>
    <w:rsid w:val="008152B0"/>
    <w:rsid w:val="00843F2E"/>
    <w:rsid w:val="00883DD5"/>
    <w:rsid w:val="008A4D0D"/>
    <w:rsid w:val="008A6F95"/>
    <w:rsid w:val="00921990"/>
    <w:rsid w:val="00956D2F"/>
    <w:rsid w:val="009A5685"/>
    <w:rsid w:val="009D48DC"/>
    <w:rsid w:val="009E5784"/>
    <w:rsid w:val="00A45B31"/>
    <w:rsid w:val="00A87960"/>
    <w:rsid w:val="00B47D29"/>
    <w:rsid w:val="00B72AA9"/>
    <w:rsid w:val="00BA5853"/>
    <w:rsid w:val="00C34F1A"/>
    <w:rsid w:val="00C471A1"/>
    <w:rsid w:val="00C60935"/>
    <w:rsid w:val="00C65F09"/>
    <w:rsid w:val="00C6627E"/>
    <w:rsid w:val="00D153C1"/>
    <w:rsid w:val="00D2501B"/>
    <w:rsid w:val="00D33D8F"/>
    <w:rsid w:val="00D34D61"/>
    <w:rsid w:val="00D43CE6"/>
    <w:rsid w:val="00DA289F"/>
    <w:rsid w:val="00DB13BB"/>
    <w:rsid w:val="00E01818"/>
    <w:rsid w:val="00E0765F"/>
    <w:rsid w:val="00E25793"/>
    <w:rsid w:val="00E60C18"/>
    <w:rsid w:val="00E6208D"/>
    <w:rsid w:val="00EC0809"/>
    <w:rsid w:val="00F53553"/>
    <w:rsid w:val="026B117B"/>
    <w:rsid w:val="04C07E5F"/>
    <w:rsid w:val="06D01345"/>
    <w:rsid w:val="08246BD0"/>
    <w:rsid w:val="0DD16F1A"/>
    <w:rsid w:val="0E2D7329"/>
    <w:rsid w:val="122F2667"/>
    <w:rsid w:val="1626244B"/>
    <w:rsid w:val="19560A59"/>
    <w:rsid w:val="1C062742"/>
    <w:rsid w:val="1C1651A7"/>
    <w:rsid w:val="1C496371"/>
    <w:rsid w:val="1C5D2A39"/>
    <w:rsid w:val="1C8F2AE8"/>
    <w:rsid w:val="1E2C2318"/>
    <w:rsid w:val="1FFE67CB"/>
    <w:rsid w:val="21785B44"/>
    <w:rsid w:val="2375417F"/>
    <w:rsid w:val="25486BE3"/>
    <w:rsid w:val="26A93DBD"/>
    <w:rsid w:val="27307EC4"/>
    <w:rsid w:val="27F03E2A"/>
    <w:rsid w:val="28716ED4"/>
    <w:rsid w:val="28E8704B"/>
    <w:rsid w:val="290C75C1"/>
    <w:rsid w:val="297C7D06"/>
    <w:rsid w:val="29D47C5C"/>
    <w:rsid w:val="2A4822AF"/>
    <w:rsid w:val="2C7D50CC"/>
    <w:rsid w:val="2E8D617B"/>
    <w:rsid w:val="32777821"/>
    <w:rsid w:val="334308AF"/>
    <w:rsid w:val="38C501C8"/>
    <w:rsid w:val="39AE61CA"/>
    <w:rsid w:val="3C4F1CAB"/>
    <w:rsid w:val="3D910776"/>
    <w:rsid w:val="3DC4168B"/>
    <w:rsid w:val="3DF23407"/>
    <w:rsid w:val="3EA017DC"/>
    <w:rsid w:val="3FBD419A"/>
    <w:rsid w:val="419C0824"/>
    <w:rsid w:val="4228602D"/>
    <w:rsid w:val="42335C28"/>
    <w:rsid w:val="425E3225"/>
    <w:rsid w:val="44244964"/>
    <w:rsid w:val="444B4611"/>
    <w:rsid w:val="455B3491"/>
    <w:rsid w:val="49094950"/>
    <w:rsid w:val="4A262317"/>
    <w:rsid w:val="4BCB5DD0"/>
    <w:rsid w:val="4EC937F4"/>
    <w:rsid w:val="4EEF2F58"/>
    <w:rsid w:val="4FB8342C"/>
    <w:rsid w:val="52DF6C8B"/>
    <w:rsid w:val="536B2CB8"/>
    <w:rsid w:val="544313FA"/>
    <w:rsid w:val="57404164"/>
    <w:rsid w:val="576B5048"/>
    <w:rsid w:val="5AA17B99"/>
    <w:rsid w:val="5AD277FB"/>
    <w:rsid w:val="5C24341D"/>
    <w:rsid w:val="5E145AF2"/>
    <w:rsid w:val="5E830FE3"/>
    <w:rsid w:val="5F412942"/>
    <w:rsid w:val="5FA47421"/>
    <w:rsid w:val="60785E58"/>
    <w:rsid w:val="61B5226F"/>
    <w:rsid w:val="655D0199"/>
    <w:rsid w:val="66792F89"/>
    <w:rsid w:val="66EC3CFC"/>
    <w:rsid w:val="692A1D76"/>
    <w:rsid w:val="6A5519A2"/>
    <w:rsid w:val="6C305B70"/>
    <w:rsid w:val="6CDE381E"/>
    <w:rsid w:val="6D8C75E7"/>
    <w:rsid w:val="6E19256C"/>
    <w:rsid w:val="6F386241"/>
    <w:rsid w:val="6F481423"/>
    <w:rsid w:val="71CD2FAB"/>
    <w:rsid w:val="71D022E5"/>
    <w:rsid w:val="72DC21B0"/>
    <w:rsid w:val="73E963DB"/>
    <w:rsid w:val="75D26FF0"/>
    <w:rsid w:val="75EB3B8E"/>
    <w:rsid w:val="7ACE35B6"/>
    <w:rsid w:val="7D0F6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0"/>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autoRedefine/>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autoRedefine/>
    <w:semiHidden/>
    <w:qFormat/>
    <w:uiPriority w:val="0"/>
    <w:rPr>
      <w:rFonts w:asciiTheme="minorHAnsi" w:hAnsiTheme="minorHAnsi" w:eastAsiaTheme="minorEastAsia" w:cstheme="minorBidi"/>
      <w:kern w:val="2"/>
      <w:sz w:val="18"/>
      <w:szCs w:val="18"/>
    </w:rPr>
  </w:style>
  <w:style w:type="paragraph" w:customStyle="1" w:styleId="10">
    <w:name w:val="正文1"/>
    <w:autoRedefine/>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paragraph" w:customStyle="1" w:styleId="11">
    <w:name w:val="默认"/>
    <w:qFormat/>
    <w:uiPriority w:val="0"/>
    <w:pPr>
      <w:framePr w:wrap="around" w:vAnchor="margin" w:hAnchor="text" w:y="1"/>
      <w:spacing w:before="160"/>
    </w:pPr>
    <w:rPr>
      <w:rFonts w:hint="eastAsia" w:ascii="Arial Unicode MS" w:hAnsi="Arial Unicode MS" w:eastAsia="Helvetica Neue" w:cs="Arial Unicode MS"/>
      <w:color w:val="000000"/>
      <w:sz w:val="24"/>
      <w:szCs w:val="24"/>
      <w:lang w:val="zh-CN" w:eastAsia="zh-CN" w:bidi="ar-SA"/>
    </w:rPr>
  </w:style>
  <w:style w:type="character" w:customStyle="1" w:styleId="12">
    <w:name w:val="font1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773</Words>
  <Characters>1000</Characters>
  <Lines>8</Lines>
  <Paragraphs>2</Paragraphs>
  <TotalTime>0</TotalTime>
  <ScaleCrop>false</ScaleCrop>
  <LinksUpToDate>false</LinksUpToDate>
  <CharactersWithSpaces>1049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2022-04-28T01:22:00Z</dcterms:created>
  <dc:creator>Mr.X</dc:creator>
  <cp:lastModifiedBy>张娜</cp:lastModifiedBy>
  <cp:lastPrinted>2022-04-28T02:25:00Z</cp:lastPrinted>
  <dcterms:modified xsi:type="dcterms:W3CDTF">2026-05-04T15:27:59Z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46431C416B6C47AEB559E909CCA891F7_13</vt:lpwstr>
  </property>
  <property fmtid="{D5CDD505-2E9C-101B-9397-08002B2CF9AE}" pid="4" name="commondata">
    <vt:lpwstr>eyJoZGlkIjoiMzIxYmMwMDJkYjZiMmFlYzdhY2YzYTliOWFhN2UxMzIifQ==</vt:lpwstr>
  </property>
  <property fmtid="{D5CDD505-2E9C-101B-9397-08002B2CF9AE}" pid="5" name="KSOTemplateDocerSaveRecord">
    <vt:lpwstr>eyJoZGlkIjoiZjZkN2I4NDU0ZTQ2OWYwZWMxMzFlNjJlZTY3MDVmZTYiLCJ1c2VySWQiOiIxNDk5NDI1MjIyIn0=</vt:lpwstr>
  </property>
</Properties>
</file>