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539E4">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b/>
          <w:bCs/>
          <w:sz w:val="44"/>
          <w:szCs w:val="44"/>
        </w:rPr>
      </w:pPr>
      <w:bookmarkStart w:id="0" w:name="_GoBack"/>
      <w:bookmarkEnd w:id="0"/>
      <w:r>
        <w:rPr>
          <w:rFonts w:hint="eastAsia" w:ascii="方正小标宋简体" w:hAnsi="方正小标宋简体" w:eastAsia="方正小标宋简体" w:cs="方正小标宋简体"/>
          <w:b/>
          <w:bCs/>
          <w:sz w:val="44"/>
          <w:szCs w:val="44"/>
        </w:rPr>
        <w:t>济宁公用惠民瑞马置业有限公司</w:t>
      </w:r>
    </w:p>
    <w:p w14:paraId="2DFA9595">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2026年第一季度财务等重大信息公开</w:t>
      </w:r>
    </w:p>
    <w:p w14:paraId="71138ACA">
      <w:pPr>
        <w:spacing w:line="600" w:lineRule="exact"/>
        <w:rPr>
          <w:rFonts w:ascii="Times New Roman" w:hAnsi="Times New Roman" w:eastAsia="方正小标宋简体" w:cs="Times New Roman"/>
          <w:b/>
          <w:bCs/>
          <w:sz w:val="32"/>
          <w:szCs w:val="32"/>
        </w:rPr>
      </w:pPr>
    </w:p>
    <w:p w14:paraId="2D8CD03D">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3" w:firstLineChars="200"/>
        <w:textAlignment w:val="auto"/>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 xml:space="preserve">公司基本情况 </w:t>
      </w:r>
    </w:p>
    <w:p w14:paraId="1DDAB0D7">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（一）企业简介</w:t>
      </w:r>
    </w:p>
    <w:p w14:paraId="553B40C5">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方正仿宋简体" w:cs="方正仿宋简体"/>
          <w:b/>
          <w:bCs/>
          <w:sz w:val="32"/>
          <w:szCs w:val="32"/>
          <w:lang w:eastAsia="zh-CN"/>
        </w:rPr>
      </w:pPr>
      <w:r>
        <w:rPr>
          <w:rFonts w:ascii="Times New Roman" w:hAnsi="Times New Roman" w:eastAsia="方正仿宋简体" w:cs="方正仿宋简体"/>
          <w:b/>
          <w:bCs/>
          <w:sz w:val="32"/>
          <w:szCs w:val="32"/>
        </w:rPr>
        <w:t>济宁公用惠民瑞马置业有限公司</w:t>
      </w:r>
      <w:r>
        <w:rPr>
          <w:rFonts w:hint="eastAsia" w:ascii="Times New Roman" w:hAnsi="Times New Roman" w:eastAsia="方正仿宋简体" w:cs="方正仿宋简体"/>
          <w:b/>
          <w:bCs/>
          <w:sz w:val="32"/>
          <w:szCs w:val="32"/>
          <w:lang w:val="en-US" w:eastAsia="zh-CN"/>
        </w:rPr>
        <w:t>是由济宁公用瑞马置业有限公司</w:t>
      </w:r>
      <w:r>
        <w:rPr>
          <w:rFonts w:ascii="Times New Roman" w:hAnsi="Times New Roman" w:eastAsia="方正仿宋简体" w:cs="方正仿宋简体"/>
          <w:b/>
          <w:bCs/>
          <w:sz w:val="32"/>
          <w:szCs w:val="32"/>
        </w:rPr>
        <w:t>（占股70%）</w:t>
      </w:r>
      <w:r>
        <w:rPr>
          <w:rFonts w:hint="eastAsia" w:ascii="Times New Roman" w:hAnsi="Times New Roman" w:eastAsia="方正仿宋简体" w:cs="方正仿宋简体"/>
          <w:b/>
          <w:bCs/>
          <w:sz w:val="32"/>
          <w:szCs w:val="32"/>
          <w:lang w:val="en-US" w:eastAsia="zh-CN"/>
        </w:rPr>
        <w:t>与济宁市兖州区惠民城建投资有限公司</w:t>
      </w:r>
      <w:r>
        <w:rPr>
          <w:rFonts w:ascii="Times New Roman" w:hAnsi="Times New Roman" w:eastAsia="方正仿宋简体" w:cs="方正仿宋简体"/>
          <w:b/>
          <w:bCs/>
          <w:sz w:val="32"/>
          <w:szCs w:val="32"/>
        </w:rPr>
        <w:t>（占股</w:t>
      </w:r>
      <w:r>
        <w:rPr>
          <w:rFonts w:hint="eastAsia" w:ascii="Times New Roman" w:hAnsi="Times New Roman" w:eastAsia="方正仿宋简体" w:cs="方正仿宋简体"/>
          <w:b/>
          <w:bCs/>
          <w:sz w:val="32"/>
          <w:szCs w:val="32"/>
          <w:lang w:val="en-US" w:eastAsia="zh-CN"/>
        </w:rPr>
        <w:t>3</w:t>
      </w:r>
      <w:r>
        <w:rPr>
          <w:rFonts w:ascii="Times New Roman" w:hAnsi="Times New Roman" w:eastAsia="方正仿宋简体" w:cs="方正仿宋简体"/>
          <w:b/>
          <w:bCs/>
          <w:sz w:val="32"/>
          <w:szCs w:val="32"/>
        </w:rPr>
        <w:t>0%）</w:t>
      </w:r>
      <w:r>
        <w:rPr>
          <w:rFonts w:hint="eastAsia" w:ascii="Times New Roman" w:hAnsi="Times New Roman" w:eastAsia="方正仿宋简体" w:cs="方正仿宋简体"/>
          <w:b/>
          <w:bCs/>
          <w:sz w:val="32"/>
          <w:szCs w:val="32"/>
          <w:lang w:val="en-US" w:eastAsia="zh-CN"/>
        </w:rPr>
        <w:t>合资成立的房地产开发企业，</w:t>
      </w:r>
      <w:r>
        <w:rPr>
          <w:rFonts w:ascii="Times New Roman" w:hAnsi="Times New Roman" w:eastAsia="方正仿宋简体" w:cs="方正仿宋简体"/>
          <w:b/>
          <w:bCs/>
          <w:sz w:val="32"/>
          <w:szCs w:val="32"/>
        </w:rPr>
        <w:t>成立于2018年9月，</w:t>
      </w:r>
      <w:r>
        <w:rPr>
          <w:rFonts w:hint="eastAsia" w:ascii="Times New Roman" w:hAnsi="Times New Roman" w:eastAsia="方正仿宋简体" w:cs="方正仿宋简体"/>
          <w:b/>
          <w:bCs/>
          <w:sz w:val="32"/>
          <w:szCs w:val="32"/>
        </w:rPr>
        <w:t>注册资本金2000万元</w:t>
      </w:r>
      <w:r>
        <w:rPr>
          <w:rFonts w:hint="eastAsia" w:ascii="Times New Roman" w:hAnsi="Times New Roman" w:eastAsia="方正仿宋简体" w:cs="方正仿宋简体"/>
          <w:b/>
          <w:bCs/>
          <w:sz w:val="32"/>
          <w:szCs w:val="32"/>
          <w:lang w:eastAsia="zh-CN"/>
        </w:rPr>
        <w:t>。</w:t>
      </w:r>
    </w:p>
    <w:p w14:paraId="1366EE0E">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方正仿宋简体" w:cs="方正仿宋简体"/>
          <w:b/>
          <w:bCs/>
          <w:sz w:val="32"/>
          <w:szCs w:val="32"/>
        </w:rPr>
      </w:pPr>
      <w:r>
        <w:rPr>
          <w:rFonts w:ascii="Times New Roman" w:hAnsi="Times New Roman" w:eastAsia="方正仿宋简体" w:cs="方正仿宋简体"/>
          <w:b/>
          <w:bCs/>
          <w:sz w:val="32"/>
          <w:szCs w:val="32"/>
        </w:rPr>
        <w:t>公司自成立以来，按照市场化、专业化、规范化的管理模式，遵循“安全至上、服质量第一”的企业宗旨</w:t>
      </w:r>
      <w:r>
        <w:rPr>
          <w:rFonts w:hint="eastAsia" w:ascii="Times New Roman" w:hAnsi="Times New Roman" w:eastAsia="方正仿宋简体" w:cs="方正仿宋简体"/>
          <w:b/>
          <w:bCs/>
          <w:sz w:val="32"/>
          <w:szCs w:val="32"/>
        </w:rPr>
        <w:t>，</w:t>
      </w:r>
      <w:r>
        <w:rPr>
          <w:rFonts w:ascii="Times New Roman" w:hAnsi="Times New Roman" w:eastAsia="方正仿宋简体" w:cs="方正仿宋简体"/>
          <w:b/>
          <w:bCs/>
          <w:sz w:val="32"/>
          <w:szCs w:val="32"/>
        </w:rPr>
        <w:t>内部设置了综合部、成本部、财务部、设计部、采购部、营销部、项目部</w:t>
      </w:r>
      <w:r>
        <w:rPr>
          <w:rFonts w:hint="eastAsia" w:ascii="Times New Roman" w:hAnsi="Times New Roman" w:eastAsia="方正仿宋简体" w:cs="方正仿宋简体"/>
          <w:b/>
          <w:bCs/>
          <w:sz w:val="32"/>
          <w:szCs w:val="32"/>
        </w:rPr>
        <w:t>等</w:t>
      </w:r>
      <w:r>
        <w:rPr>
          <w:rFonts w:ascii="Times New Roman" w:hAnsi="Times New Roman" w:eastAsia="方正仿宋简体" w:cs="方正仿宋简体"/>
          <w:b/>
          <w:bCs/>
          <w:sz w:val="32"/>
          <w:szCs w:val="32"/>
        </w:rPr>
        <w:t>部门</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由我公司开发建设的惠民瑞马世家建筑风格为新古典法式风情高品质住区。项目总建筑面积约45万㎡，规划住宅2200余套，绿地率35%，容积率2.0，其中地上建筑面积约31万平方，地下建筑面积约13.9万平方。高层、洋房错落有致，将法式宫廷的尊贵气度完美呈现，打造兖州北城区最美的天际线。</w:t>
      </w:r>
    </w:p>
    <w:p w14:paraId="01D385C9">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（二）企业基本信息</w:t>
      </w:r>
    </w:p>
    <w:p w14:paraId="1D87117A">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企业名称：济宁公用惠民瑞马置业有限公司</w:t>
      </w:r>
    </w:p>
    <w:p w14:paraId="53CC7D4B">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注册地址：济宁市兖州区鼓楼街道办事处中御桥北路东侧、文化东路北侧</w:t>
      </w:r>
    </w:p>
    <w:p w14:paraId="790A2C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登记机关：济宁市兖州区行政审批服务局</w:t>
      </w:r>
    </w:p>
    <w:p w14:paraId="083993CD">
      <w:pPr>
        <w:keepNext w:val="0"/>
        <w:keepLines w:val="0"/>
        <w:pageBreakBefore w:val="0"/>
        <w:widowControl w:val="0"/>
        <w:kinsoku/>
        <w:wordWrap/>
        <w:overflowPunct/>
        <w:topLinePunct w:val="0"/>
        <w:autoSpaceDE/>
        <w:autoSpaceDN/>
        <w:bidi w:val="0"/>
        <w:adjustRightInd/>
        <w:snapToGrid/>
        <w:spacing w:line="560" w:lineRule="exact"/>
        <w:ind w:left="2244" w:leftChars="304" w:hanging="1606" w:hangingChars="5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经营范围：房地产开发、销售、房屋租赁。（依法须经批准的项目，经相关部门批准后方可开展经营活动）</w:t>
      </w:r>
    </w:p>
    <w:p w14:paraId="163E06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企业类型：其他有限责任公司</w:t>
      </w:r>
    </w:p>
    <w:p w14:paraId="63BDC0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成立日期：2018年9月13日</w:t>
      </w:r>
    </w:p>
    <w:p w14:paraId="235D7A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（三）机构设置</w:t>
      </w:r>
    </w:p>
    <w:p w14:paraId="539FCD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公司设执行董事1名，经理1名，副经理1名；设6个部室、1个项目部，分别为：财务部、成本部、营销部、成本部、采购部、综合部、世家项目部。</w:t>
      </w:r>
    </w:p>
    <w:p w14:paraId="0707D86D">
      <w:pPr>
        <w:numPr>
          <w:ilvl w:val="0"/>
          <w:numId w:val="1"/>
        </w:numPr>
        <w:snapToGrid w:val="0"/>
        <w:spacing w:line="600" w:lineRule="exact"/>
        <w:ind w:firstLine="643" w:firstLineChars="200"/>
        <w:rPr>
          <w:rFonts w:ascii="Times New Roman" w:hAnsi="Times New Roman" w:eastAsia="方正黑体简体" w:cs="Times New Roman"/>
          <w:b/>
          <w:sz w:val="32"/>
          <w:szCs w:val="32"/>
        </w:rPr>
      </w:pPr>
      <w:r>
        <w:rPr>
          <w:rFonts w:ascii="Times New Roman" w:hAnsi="Times New Roman" w:eastAsia="方正黑体简体" w:cs="Times New Roman"/>
          <w:b/>
          <w:bCs/>
          <w:sz w:val="32"/>
          <w:szCs w:val="32"/>
        </w:rPr>
        <w:t>主要会计数据和财务指标</w:t>
      </w:r>
    </w:p>
    <w:tbl>
      <w:tblPr>
        <w:tblStyle w:val="5"/>
        <w:tblW w:w="90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0"/>
        <w:gridCol w:w="1965"/>
        <w:gridCol w:w="1755"/>
        <w:gridCol w:w="2069"/>
        <w:gridCol w:w="1451"/>
      </w:tblGrid>
      <w:tr w14:paraId="04B2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060" w:type="dxa"/>
            <w:gridSpan w:val="5"/>
            <w:tcBorders>
              <w:top w:val="nil"/>
              <w:left w:val="nil"/>
              <w:bottom w:val="nil"/>
              <w:right w:val="nil"/>
            </w:tcBorders>
            <w:shd w:val="clear" w:color="auto" w:fill="auto"/>
            <w:noWrap/>
            <w:vAlign w:val="center"/>
          </w:tcPr>
          <w:p w14:paraId="1375DB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单位： 济宁公用惠民瑞马置业有限公司 </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单位：万元</w:t>
            </w:r>
          </w:p>
        </w:tc>
      </w:tr>
      <w:tr w14:paraId="4BAD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B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36B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本期累计金额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2AD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年度预算目标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3D0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预算完成情况</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D69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上年同期</w:t>
            </w:r>
          </w:p>
        </w:tc>
      </w:tr>
      <w:tr w14:paraId="0E53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5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营业总收入</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28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060</w:t>
            </w:r>
            <w:r>
              <w:rPr>
                <w:rFonts w:hint="default" w:ascii="Times New Roman" w:hAnsi="Times New Roman" w:eastAsia="宋体" w:cs="Times New Roman"/>
                <w:i w:val="0"/>
                <w:iCs w:val="0"/>
                <w:color w:val="000000"/>
                <w:kern w:val="0"/>
                <w:sz w:val="22"/>
                <w:szCs w:val="22"/>
                <w:u w:val="none"/>
                <w:lang w:val="en-US" w:eastAsia="zh-CN" w:bidi="ar"/>
              </w:rPr>
              <w:t>.00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E8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9,706.00</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2DB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41.83%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BA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5,013.00</w:t>
            </w:r>
          </w:p>
        </w:tc>
      </w:tr>
      <w:tr w14:paraId="6E43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D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营业总成本</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F1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3,538.00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9A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8,899.00</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763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39.76%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59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4,201.00</w:t>
            </w:r>
          </w:p>
        </w:tc>
      </w:tr>
      <w:tr w14:paraId="3BB7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0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利润总额</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82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522.00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F9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807.00</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846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64.68%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7F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812.00</w:t>
            </w:r>
          </w:p>
        </w:tc>
      </w:tr>
      <w:tr w14:paraId="0EBC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E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净利润</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03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522.00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8A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605.25</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EC6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86.25%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0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547.00</w:t>
            </w:r>
          </w:p>
        </w:tc>
      </w:tr>
      <w:tr w14:paraId="1931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E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资产总额</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4D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28,478.00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C8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18,747.78</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D072">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151.90%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85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26,575.00</w:t>
            </w:r>
          </w:p>
        </w:tc>
      </w:tr>
      <w:tr w14:paraId="638D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负债总额</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37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18,634.00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DD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8,761.00</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7D5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212.69%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92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18,157.00</w:t>
            </w:r>
          </w:p>
        </w:tc>
      </w:tr>
      <w:tr w14:paraId="042F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F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所有者权益</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58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9,844.00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632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9,986.78</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0B9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98.57%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F6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8,418.00</w:t>
            </w:r>
          </w:p>
        </w:tc>
      </w:tr>
    </w:tbl>
    <w:p w14:paraId="58CCB0F8">
      <w:pPr>
        <w:snapToGrid w:val="0"/>
        <w:spacing w:line="600" w:lineRule="exact"/>
        <w:ind w:firstLine="643" w:firstLineChars="200"/>
        <w:rPr>
          <w:rFonts w:ascii="Times New Roman" w:hAnsi="Times New Roman" w:eastAsia="方正小标宋简体" w:cs="Times New Roman"/>
          <w:b/>
          <w:bCs/>
          <w:sz w:val="32"/>
          <w:szCs w:val="32"/>
        </w:rPr>
      </w:pPr>
      <w:r>
        <w:rPr>
          <w:rFonts w:hint="eastAsia" w:ascii="Times New Roman" w:hAnsi="Times New Roman" w:eastAsia="方正黑体简体" w:cs="Times New Roman"/>
          <w:b/>
          <w:bCs/>
          <w:sz w:val="32"/>
          <w:szCs w:val="32"/>
        </w:rPr>
        <w:t>三</w:t>
      </w:r>
      <w:r>
        <w:rPr>
          <w:rFonts w:ascii="Times New Roman" w:hAnsi="Times New Roman" w:eastAsia="方正黑体简体" w:cs="Times New Roman"/>
          <w:b/>
          <w:bCs/>
          <w:sz w:val="32"/>
          <w:szCs w:val="32"/>
        </w:rPr>
        <w:t>、财务预算执行情况</w:t>
      </w:r>
    </w:p>
    <w:p w14:paraId="4EE3720C">
      <w:pPr>
        <w:pStyle w:val="10"/>
        <w:spacing w:line="600" w:lineRule="exact"/>
        <w:ind w:firstLine="643" w:firstLineChars="200"/>
        <w:jc w:val="both"/>
        <w:rPr>
          <w:rFonts w:hint="eastAsia" w:ascii="Times New Roman" w:hAnsi="Times New Roman" w:eastAsia="方正仿宋简体" w:cs="方正仿宋简体"/>
          <w:b/>
          <w:bCs/>
          <w:color w:val="auto"/>
          <w:kern w:val="2"/>
          <w:sz w:val="32"/>
          <w:szCs w:val="32"/>
        </w:rPr>
      </w:pPr>
      <w:r>
        <w:rPr>
          <w:rFonts w:hint="eastAsia" w:ascii="Times New Roman" w:hAnsi="Times New Roman" w:eastAsia="方正仿宋简体" w:cs="方正仿宋简体"/>
          <w:b/>
          <w:bCs/>
          <w:color w:val="auto"/>
          <w:kern w:val="2"/>
          <w:sz w:val="32"/>
          <w:szCs w:val="32"/>
          <w:lang w:val="en-US" w:eastAsia="zh-CN"/>
        </w:rPr>
        <w:t>2026年第一季度</w:t>
      </w:r>
      <w:r>
        <w:rPr>
          <w:rFonts w:hint="eastAsia" w:ascii="Times New Roman" w:hAnsi="Times New Roman" w:eastAsia="方正仿宋简体" w:cs="方正仿宋简体"/>
          <w:b/>
          <w:bCs/>
          <w:color w:val="auto"/>
          <w:kern w:val="2"/>
          <w:sz w:val="32"/>
          <w:szCs w:val="32"/>
        </w:rPr>
        <w:t>累计实现营业收入</w:t>
      </w:r>
      <w:r>
        <w:rPr>
          <w:rFonts w:hint="eastAsia" w:ascii="Times New Roman" w:hAnsi="Times New Roman" w:eastAsia="方正仿宋简体" w:cs="方正仿宋简体"/>
          <w:b/>
          <w:bCs/>
          <w:color w:val="auto"/>
          <w:kern w:val="2"/>
          <w:sz w:val="32"/>
          <w:szCs w:val="32"/>
          <w:lang w:val="en-US" w:eastAsia="zh-CN"/>
        </w:rPr>
        <w:t>4060万</w:t>
      </w:r>
      <w:r>
        <w:rPr>
          <w:rFonts w:hint="eastAsia" w:ascii="Times New Roman" w:hAnsi="Times New Roman" w:eastAsia="方正仿宋简体" w:cs="方正仿宋简体"/>
          <w:b/>
          <w:bCs/>
          <w:color w:val="auto"/>
          <w:kern w:val="2"/>
          <w:sz w:val="32"/>
          <w:szCs w:val="32"/>
        </w:rPr>
        <w:t>元，完成全年预算</w:t>
      </w:r>
      <w:r>
        <w:rPr>
          <w:rFonts w:hint="eastAsia" w:ascii="Times New Roman" w:hAnsi="Times New Roman" w:eastAsia="方正仿宋简体" w:cs="方正仿宋简体"/>
          <w:b/>
          <w:bCs/>
          <w:color w:val="auto"/>
          <w:kern w:val="2"/>
          <w:sz w:val="32"/>
          <w:szCs w:val="32"/>
          <w:lang w:val="en-US" w:eastAsia="zh-CN"/>
        </w:rPr>
        <w:t>9706万</w:t>
      </w:r>
      <w:r>
        <w:rPr>
          <w:rFonts w:hint="eastAsia" w:ascii="Times New Roman" w:hAnsi="Times New Roman" w:eastAsia="方正仿宋简体" w:cs="方正仿宋简体"/>
          <w:b/>
          <w:bCs/>
          <w:color w:val="auto"/>
          <w:kern w:val="2"/>
          <w:sz w:val="32"/>
          <w:szCs w:val="32"/>
        </w:rPr>
        <w:t>元的</w:t>
      </w:r>
      <w:r>
        <w:rPr>
          <w:rFonts w:hint="eastAsia" w:ascii="Times New Roman" w:hAnsi="Times New Roman" w:eastAsia="方正仿宋简体" w:cs="方正仿宋简体"/>
          <w:b/>
          <w:bCs/>
          <w:color w:val="auto"/>
          <w:kern w:val="2"/>
          <w:sz w:val="32"/>
          <w:szCs w:val="32"/>
          <w:lang w:val="en-US" w:eastAsia="zh-CN"/>
        </w:rPr>
        <w:t>41.83%</w:t>
      </w:r>
      <w:r>
        <w:rPr>
          <w:rFonts w:hint="eastAsia" w:ascii="Times New Roman" w:hAnsi="Times New Roman" w:eastAsia="方正仿宋简体" w:cs="方正仿宋简体"/>
          <w:b/>
          <w:bCs/>
          <w:color w:val="auto"/>
          <w:kern w:val="2"/>
          <w:sz w:val="32"/>
          <w:szCs w:val="32"/>
        </w:rPr>
        <w:t>；累计实现利润总额</w:t>
      </w:r>
      <w:r>
        <w:rPr>
          <w:rFonts w:hint="eastAsia" w:ascii="Times New Roman" w:hAnsi="Times New Roman" w:eastAsia="方正仿宋简体" w:cs="方正仿宋简体"/>
          <w:b/>
          <w:bCs/>
          <w:color w:val="auto"/>
          <w:kern w:val="2"/>
          <w:sz w:val="32"/>
          <w:szCs w:val="32"/>
          <w:lang w:val="en-US" w:eastAsia="zh-CN"/>
        </w:rPr>
        <w:t>522</w:t>
      </w:r>
      <w:r>
        <w:rPr>
          <w:rFonts w:hint="eastAsia" w:ascii="Times New Roman" w:hAnsi="Times New Roman" w:eastAsia="方正仿宋简体" w:cs="方正仿宋简体"/>
          <w:b/>
          <w:bCs/>
          <w:color w:val="auto"/>
          <w:kern w:val="2"/>
          <w:sz w:val="32"/>
          <w:szCs w:val="32"/>
        </w:rPr>
        <w:t>万元，完成全年预算</w:t>
      </w:r>
      <w:r>
        <w:rPr>
          <w:rFonts w:hint="eastAsia" w:ascii="Times New Roman" w:hAnsi="Times New Roman" w:eastAsia="方正仿宋简体" w:cs="方正仿宋简体"/>
          <w:b/>
          <w:bCs/>
          <w:color w:val="auto"/>
          <w:kern w:val="2"/>
          <w:sz w:val="32"/>
          <w:szCs w:val="32"/>
          <w:lang w:val="en-US" w:eastAsia="zh-CN"/>
        </w:rPr>
        <w:t>807</w:t>
      </w:r>
      <w:r>
        <w:rPr>
          <w:rFonts w:hint="eastAsia" w:ascii="Times New Roman" w:hAnsi="Times New Roman" w:eastAsia="方正仿宋简体" w:cs="方正仿宋简体"/>
          <w:b/>
          <w:bCs/>
          <w:color w:val="auto"/>
          <w:kern w:val="2"/>
          <w:sz w:val="32"/>
          <w:szCs w:val="32"/>
        </w:rPr>
        <w:t>万元的</w:t>
      </w:r>
      <w:r>
        <w:rPr>
          <w:rFonts w:hint="eastAsia" w:ascii="Times New Roman" w:hAnsi="Times New Roman" w:eastAsia="方正仿宋简体" w:cs="方正仿宋简体"/>
          <w:b/>
          <w:bCs/>
          <w:color w:val="auto"/>
          <w:kern w:val="2"/>
          <w:sz w:val="32"/>
          <w:szCs w:val="32"/>
          <w:lang w:val="en-US" w:eastAsia="zh-CN"/>
        </w:rPr>
        <w:t>64.68%</w:t>
      </w:r>
      <w:r>
        <w:rPr>
          <w:rFonts w:hint="eastAsia" w:ascii="Times New Roman" w:hAnsi="Times New Roman" w:eastAsia="方正仿宋简体" w:cs="方正仿宋简体"/>
          <w:b/>
          <w:bCs/>
          <w:color w:val="auto"/>
          <w:kern w:val="2"/>
          <w:sz w:val="32"/>
          <w:szCs w:val="32"/>
        </w:rPr>
        <w:t>；</w:t>
      </w:r>
      <w:r>
        <w:rPr>
          <w:rFonts w:hint="eastAsia" w:ascii="Times New Roman" w:hAnsi="Times New Roman" w:eastAsia="方正仿宋简体" w:cs="方正仿宋简体"/>
          <w:b/>
          <w:bCs/>
          <w:color w:val="auto"/>
          <w:kern w:val="2"/>
          <w:sz w:val="32"/>
          <w:szCs w:val="32"/>
          <w:lang w:val="en-US" w:eastAsia="zh-CN"/>
        </w:rPr>
        <w:t>3</w:t>
      </w:r>
      <w:r>
        <w:rPr>
          <w:rFonts w:hint="eastAsia" w:ascii="Times New Roman" w:hAnsi="Times New Roman" w:eastAsia="方正仿宋简体" w:cs="方正仿宋简体"/>
          <w:b/>
          <w:bCs/>
          <w:color w:val="auto"/>
          <w:kern w:val="2"/>
          <w:sz w:val="32"/>
          <w:szCs w:val="32"/>
        </w:rPr>
        <w:t>月底资产负债率</w:t>
      </w:r>
      <w:r>
        <w:rPr>
          <w:rFonts w:hint="eastAsia" w:ascii="Times New Roman" w:hAnsi="Times New Roman" w:eastAsia="方正仿宋简体" w:cs="方正仿宋简体"/>
          <w:b/>
          <w:bCs/>
          <w:color w:val="auto"/>
          <w:kern w:val="2"/>
          <w:sz w:val="32"/>
          <w:szCs w:val="32"/>
          <w:lang w:val="en-US" w:eastAsia="zh-CN"/>
        </w:rPr>
        <w:t>65.43%</w:t>
      </w:r>
      <w:r>
        <w:rPr>
          <w:rFonts w:hint="eastAsia" w:ascii="Times New Roman" w:hAnsi="Times New Roman" w:eastAsia="方正仿宋简体" w:cs="方正仿宋简体"/>
          <w:b/>
          <w:bCs/>
          <w:color w:val="auto"/>
          <w:kern w:val="2"/>
          <w:sz w:val="32"/>
          <w:szCs w:val="32"/>
        </w:rPr>
        <w:t>，比去年同期的</w:t>
      </w:r>
      <w:r>
        <w:rPr>
          <w:rFonts w:hint="eastAsia" w:ascii="Times New Roman" w:hAnsi="Times New Roman" w:eastAsia="方正仿宋简体" w:cs="方正仿宋简体"/>
          <w:b/>
          <w:bCs/>
          <w:color w:val="auto"/>
          <w:kern w:val="2"/>
          <w:sz w:val="32"/>
          <w:szCs w:val="32"/>
          <w:lang w:val="en-US" w:eastAsia="zh-CN"/>
        </w:rPr>
        <w:t>68.32%</w:t>
      </w:r>
      <w:r>
        <w:rPr>
          <w:rFonts w:hint="eastAsia" w:ascii="Times New Roman" w:hAnsi="Times New Roman" w:eastAsia="方正仿宋简体" w:cs="方正仿宋简体"/>
          <w:b/>
          <w:bCs/>
          <w:color w:val="auto"/>
          <w:kern w:val="2"/>
          <w:sz w:val="32"/>
          <w:szCs w:val="32"/>
        </w:rPr>
        <w:t>下降了</w:t>
      </w:r>
      <w:r>
        <w:rPr>
          <w:rFonts w:hint="eastAsia" w:ascii="Times New Roman" w:hAnsi="Times New Roman" w:eastAsia="方正仿宋简体" w:cs="方正仿宋简体"/>
          <w:b/>
          <w:bCs/>
          <w:color w:val="auto"/>
          <w:kern w:val="2"/>
          <w:sz w:val="32"/>
          <w:szCs w:val="32"/>
          <w:lang w:val="en-US" w:eastAsia="zh-CN"/>
        </w:rPr>
        <w:t>2.89</w:t>
      </w:r>
      <w:r>
        <w:rPr>
          <w:rFonts w:hint="eastAsia" w:ascii="Times New Roman" w:hAnsi="Times New Roman" w:eastAsia="方正仿宋简体" w:cs="方正仿宋简体"/>
          <w:b/>
          <w:bCs/>
          <w:color w:val="auto"/>
          <w:kern w:val="2"/>
          <w:sz w:val="32"/>
          <w:szCs w:val="32"/>
        </w:rPr>
        <w:t>个百分点。</w:t>
      </w:r>
    </w:p>
    <w:p w14:paraId="7F9ACC4C">
      <w:pPr>
        <w:snapToGrid w:val="0"/>
        <w:spacing w:line="600" w:lineRule="exact"/>
        <w:ind w:firstLine="643" w:firstLineChars="200"/>
        <w:rPr>
          <w:rFonts w:hint="eastAsia" w:ascii="Times New Roman" w:hAnsi="Times New Roman" w:eastAsia="方正黑体简体" w:cs="Times New Roman"/>
          <w:b/>
          <w:bCs/>
          <w:sz w:val="32"/>
          <w:szCs w:val="32"/>
          <w:lang w:val="en-US" w:eastAsia="zh-CN"/>
        </w:rPr>
      </w:pPr>
      <w:r>
        <w:rPr>
          <w:rFonts w:hint="eastAsia" w:ascii="Times New Roman" w:hAnsi="Times New Roman" w:eastAsia="方正黑体简体" w:cs="Times New Roman"/>
          <w:b/>
          <w:bCs/>
          <w:sz w:val="32"/>
          <w:szCs w:val="32"/>
          <w:lang w:val="en-US" w:eastAsia="zh-CN"/>
        </w:rPr>
        <w:t>四</w:t>
      </w:r>
      <w:r>
        <w:rPr>
          <w:rFonts w:ascii="Times New Roman" w:hAnsi="Times New Roman" w:eastAsia="方正黑体简体" w:cs="Times New Roman"/>
          <w:b/>
          <w:bCs/>
          <w:sz w:val="32"/>
          <w:szCs w:val="32"/>
        </w:rPr>
        <w:t>、</w:t>
      </w:r>
      <w:r>
        <w:rPr>
          <w:rFonts w:hint="eastAsia" w:ascii="Times New Roman" w:hAnsi="Times New Roman" w:eastAsia="方正黑体简体" w:cs="Times New Roman"/>
          <w:b/>
          <w:bCs/>
          <w:sz w:val="32"/>
          <w:szCs w:val="32"/>
          <w:lang w:val="en-US" w:eastAsia="zh-CN"/>
        </w:rPr>
        <w:t>2026年第一季度内发生的重大事项及对公司的影响</w:t>
      </w:r>
    </w:p>
    <w:p w14:paraId="137A54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lang w:val="en-US" w:eastAsia="zh-CN"/>
        </w:rPr>
        <w:t>济宁公用惠民瑞马置业有限公司2026年第一季度内未发生重大事项。</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437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6E2EA">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36E2EA">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FBD13"/>
    <w:multiLevelType w:val="singleLevel"/>
    <w:tmpl w:val="3A2FBD1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NGYxNDlhOGMxM2M2NGQwNTVjMzllMGQ4ZGMyNjcifQ=="/>
  </w:docVars>
  <w:rsids>
    <w:rsidRoot w:val="28E8704B"/>
    <w:rsid w:val="00023E53"/>
    <w:rsid w:val="00064C10"/>
    <w:rsid w:val="000B768B"/>
    <w:rsid w:val="000F4906"/>
    <w:rsid w:val="001048D2"/>
    <w:rsid w:val="001225CF"/>
    <w:rsid w:val="0016636E"/>
    <w:rsid w:val="00173818"/>
    <w:rsid w:val="001E70D3"/>
    <w:rsid w:val="001F0930"/>
    <w:rsid w:val="00215555"/>
    <w:rsid w:val="002659B0"/>
    <w:rsid w:val="0027474F"/>
    <w:rsid w:val="002F0D05"/>
    <w:rsid w:val="0033664A"/>
    <w:rsid w:val="00387CC5"/>
    <w:rsid w:val="003A2581"/>
    <w:rsid w:val="003B2746"/>
    <w:rsid w:val="003C0776"/>
    <w:rsid w:val="003F200B"/>
    <w:rsid w:val="0040651C"/>
    <w:rsid w:val="004613E2"/>
    <w:rsid w:val="004B3BB3"/>
    <w:rsid w:val="004B51FE"/>
    <w:rsid w:val="004C19A7"/>
    <w:rsid w:val="004F2DF9"/>
    <w:rsid w:val="005304BC"/>
    <w:rsid w:val="00545BAB"/>
    <w:rsid w:val="00590DF4"/>
    <w:rsid w:val="005C6338"/>
    <w:rsid w:val="005D0127"/>
    <w:rsid w:val="00646654"/>
    <w:rsid w:val="00663457"/>
    <w:rsid w:val="006C787C"/>
    <w:rsid w:val="007534E3"/>
    <w:rsid w:val="007B1BD4"/>
    <w:rsid w:val="007D5E77"/>
    <w:rsid w:val="00814BA3"/>
    <w:rsid w:val="008152B0"/>
    <w:rsid w:val="00843F2E"/>
    <w:rsid w:val="00883DD5"/>
    <w:rsid w:val="008A4D0D"/>
    <w:rsid w:val="008A6F95"/>
    <w:rsid w:val="00956D2F"/>
    <w:rsid w:val="009A5685"/>
    <w:rsid w:val="009D48DC"/>
    <w:rsid w:val="009E5784"/>
    <w:rsid w:val="00A45B31"/>
    <w:rsid w:val="00A87960"/>
    <w:rsid w:val="00B47D29"/>
    <w:rsid w:val="00B72AA9"/>
    <w:rsid w:val="00BA5853"/>
    <w:rsid w:val="00C34F1A"/>
    <w:rsid w:val="00C471A1"/>
    <w:rsid w:val="00C60935"/>
    <w:rsid w:val="00C65F09"/>
    <w:rsid w:val="00CC0C67"/>
    <w:rsid w:val="00D153C1"/>
    <w:rsid w:val="00D2501B"/>
    <w:rsid w:val="00D33D8F"/>
    <w:rsid w:val="00D34D61"/>
    <w:rsid w:val="00D43CE6"/>
    <w:rsid w:val="00DA289F"/>
    <w:rsid w:val="00DB13BB"/>
    <w:rsid w:val="00E01818"/>
    <w:rsid w:val="00E0765F"/>
    <w:rsid w:val="00E25793"/>
    <w:rsid w:val="00E60C18"/>
    <w:rsid w:val="00E6208D"/>
    <w:rsid w:val="00EC0809"/>
    <w:rsid w:val="00F53553"/>
    <w:rsid w:val="030A01E2"/>
    <w:rsid w:val="041405A8"/>
    <w:rsid w:val="04C07E5F"/>
    <w:rsid w:val="068454A2"/>
    <w:rsid w:val="06D01345"/>
    <w:rsid w:val="088D6BCC"/>
    <w:rsid w:val="0A085B58"/>
    <w:rsid w:val="0E1625D1"/>
    <w:rsid w:val="10847C22"/>
    <w:rsid w:val="144942E0"/>
    <w:rsid w:val="14DA60E1"/>
    <w:rsid w:val="176E0FB5"/>
    <w:rsid w:val="19560A59"/>
    <w:rsid w:val="1B6E1071"/>
    <w:rsid w:val="1C496371"/>
    <w:rsid w:val="1C8F2AE8"/>
    <w:rsid w:val="1D0A2792"/>
    <w:rsid w:val="20A52138"/>
    <w:rsid w:val="21785B44"/>
    <w:rsid w:val="25486BE3"/>
    <w:rsid w:val="26A93DBD"/>
    <w:rsid w:val="279D55DA"/>
    <w:rsid w:val="27F03E2A"/>
    <w:rsid w:val="28716ED4"/>
    <w:rsid w:val="28E8704B"/>
    <w:rsid w:val="290C75C1"/>
    <w:rsid w:val="29D47C5C"/>
    <w:rsid w:val="2A4822AF"/>
    <w:rsid w:val="2A5961F8"/>
    <w:rsid w:val="2E4230DC"/>
    <w:rsid w:val="2E8D617B"/>
    <w:rsid w:val="2EF22242"/>
    <w:rsid w:val="30690959"/>
    <w:rsid w:val="32777821"/>
    <w:rsid w:val="33180B55"/>
    <w:rsid w:val="334308AF"/>
    <w:rsid w:val="33C41072"/>
    <w:rsid w:val="3601249A"/>
    <w:rsid w:val="39AE61CA"/>
    <w:rsid w:val="3BE93F7A"/>
    <w:rsid w:val="3D910776"/>
    <w:rsid w:val="3DF23407"/>
    <w:rsid w:val="3EA017DC"/>
    <w:rsid w:val="3FBD419A"/>
    <w:rsid w:val="41426331"/>
    <w:rsid w:val="419C0824"/>
    <w:rsid w:val="41B757E9"/>
    <w:rsid w:val="41DF55AC"/>
    <w:rsid w:val="428C50F8"/>
    <w:rsid w:val="432F1892"/>
    <w:rsid w:val="43742EF4"/>
    <w:rsid w:val="44244964"/>
    <w:rsid w:val="455B3491"/>
    <w:rsid w:val="47353B60"/>
    <w:rsid w:val="47510149"/>
    <w:rsid w:val="48CA4211"/>
    <w:rsid w:val="4B8F5F5B"/>
    <w:rsid w:val="4EEF2F58"/>
    <w:rsid w:val="50577E8E"/>
    <w:rsid w:val="52DF6C8B"/>
    <w:rsid w:val="536B2CB8"/>
    <w:rsid w:val="57404164"/>
    <w:rsid w:val="576B5048"/>
    <w:rsid w:val="57927A70"/>
    <w:rsid w:val="58BF571F"/>
    <w:rsid w:val="5A407308"/>
    <w:rsid w:val="5AD277FB"/>
    <w:rsid w:val="5BA2258D"/>
    <w:rsid w:val="5D40272A"/>
    <w:rsid w:val="5DA0538F"/>
    <w:rsid w:val="5E145AF2"/>
    <w:rsid w:val="5E88588F"/>
    <w:rsid w:val="5F412942"/>
    <w:rsid w:val="5FA47421"/>
    <w:rsid w:val="60785E58"/>
    <w:rsid w:val="60B90048"/>
    <w:rsid w:val="61B5226F"/>
    <w:rsid w:val="66792F89"/>
    <w:rsid w:val="66B26E0C"/>
    <w:rsid w:val="66EC3CFC"/>
    <w:rsid w:val="67F442C4"/>
    <w:rsid w:val="687706F2"/>
    <w:rsid w:val="6A5519A2"/>
    <w:rsid w:val="6C305B70"/>
    <w:rsid w:val="6C8F5896"/>
    <w:rsid w:val="6CD01971"/>
    <w:rsid w:val="6CDE381E"/>
    <w:rsid w:val="6D8C75E7"/>
    <w:rsid w:val="6EC84BBA"/>
    <w:rsid w:val="6F1B23DF"/>
    <w:rsid w:val="6F481423"/>
    <w:rsid w:val="71D022E5"/>
    <w:rsid w:val="749B73BF"/>
    <w:rsid w:val="75D26FF0"/>
    <w:rsid w:val="7ACE35B6"/>
    <w:rsid w:val="7D0F6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0"/>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3"/>
    <w:autoRedefine/>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autoRedefine/>
    <w:semiHidden/>
    <w:qFormat/>
    <w:uiPriority w:val="0"/>
    <w:rPr>
      <w:rFonts w:asciiTheme="minorHAnsi" w:hAnsiTheme="minorHAnsi" w:eastAsiaTheme="minorEastAsia" w:cstheme="minorBidi"/>
      <w:kern w:val="2"/>
      <w:sz w:val="18"/>
      <w:szCs w:val="18"/>
    </w:rPr>
  </w:style>
  <w:style w:type="paragraph" w:customStyle="1" w:styleId="1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2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627</Words>
  <Characters>682</Characters>
  <Lines>7</Lines>
  <Paragraphs>2</Paragraphs>
  <TotalTime>38</TotalTime>
  <ScaleCrop>false</ScaleCrop>
  <LinksUpToDate>false</LinksUpToDate>
  <CharactersWithSpaces>718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2022-04-28T01:22:00Z</dcterms:created>
  <dc:creator>Mr.X</dc:creator>
  <cp:lastModifiedBy>张娜</cp:lastModifiedBy>
  <cp:lastPrinted>2022-04-28T02:25:00Z</cp:lastPrinted>
  <dcterms:modified xsi:type="dcterms:W3CDTF">2026-05-04T15:23:50Z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5608CA5D181C4DD69F20942CE45907EA_13</vt:lpwstr>
  </property>
  <property fmtid="{D5CDD505-2E9C-101B-9397-08002B2CF9AE}" pid="4" name="commondata">
    <vt:lpwstr>eyJoZGlkIjoiMzIxYmMwMDJkYjZiMmFlYzdhY2YzYTliOWFhN2UxMzIifQ==</vt:lpwstr>
  </property>
  <property fmtid="{D5CDD505-2E9C-101B-9397-08002B2CF9AE}" pid="5" name="KSOTemplateDocerSaveRecord">
    <vt:lpwstr>eyJoZGlkIjoiZjZkN2I4NDU0ZTQ2OWYwZWMxMzFlNjJlZTY3MDVmZTYiLCJ1c2VySWQiOiIxNDk5NDI1MjIyIn0=</vt:lpwstr>
  </property>
</Properties>
</file>