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1DDBA">
      <w:pPr>
        <w:snapToGrid w:val="0"/>
        <w:spacing w:line="640" w:lineRule="exact"/>
        <w:jc w:val="center"/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邹城公用水务有限公司</w:t>
      </w:r>
    </w:p>
    <w:p w14:paraId="2DFCC125">
      <w:pPr>
        <w:snapToGrid w:val="0"/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24"/>
        </w:rPr>
      </w:pPr>
      <w:r>
        <w:rPr>
          <w:rFonts w:hint="eastAsia" w:ascii="方正小标宋简体" w:hAnsi="Times New Roman" w:eastAsia="方正小标宋简体" w:cs="Times New Roman"/>
          <w:b/>
          <w:bCs/>
          <w:sz w:val="44"/>
          <w:szCs w:val="44"/>
        </w:rPr>
        <w:t>2026年一季度财务重大信息公开</w:t>
      </w:r>
    </w:p>
    <w:p w14:paraId="12147D8E">
      <w:pPr>
        <w:ind w:firstLine="643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 </w:t>
      </w:r>
    </w:p>
    <w:p w14:paraId="7BDDD18C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 xml:space="preserve">一、公司基本情况 </w:t>
      </w:r>
    </w:p>
    <w:p w14:paraId="3B59FCF1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1.公司名称：邹城公用水务有限公司</w:t>
      </w:r>
    </w:p>
    <w:p w14:paraId="06496E30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2.法定代表人：刘旭</w:t>
      </w:r>
    </w:p>
    <w:p w14:paraId="4A14E999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3.注册地址：邹城市西外环路8699号</w:t>
      </w:r>
    </w:p>
    <w:p w14:paraId="1F527B56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4.经营范围：</w:t>
      </w:r>
    </w:p>
    <w:p w14:paraId="3A52432C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供水板块：一般项目：专用设备修理；仪器仪表修理；住宅水电安装维护服务；非居住房地产租赁；管道运输设备销售；供应用仪器仪表销售；计量服务；工程管理服务；物业管理；园林绿化工程施工；家政服务；建筑物清洁服务；专业保洁、清洗、消毒服务（除依法须经批准的项目外，凭营业执照依法自主开展经营活动）。住所：邹城市太平西路1333号。</w:t>
      </w:r>
    </w:p>
    <w:p w14:paraId="54D4120F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污水板块：一般项目：专用设备修理；仪器仪表修理；住宅水电安装维护服务；非居住房地产租赁；管道运输设备销售；供应用仪器仪表销售；计量技术服务；工程管理服务；物业管理；园林绿化工程施工；家政服务；建筑物清洁服务；专业保洁、清洗、消毒服务；工程造价咨询业务；市政设施管理：消防技术服务。（除依法须经批准的项目外，凭营业执照依法自主开展经营活动）。许可项目：污水处理及其再生利用；自来水生产与供应；现制现售饮用水；建设工程施工；建设工程设计；检验检测服务；住宅室内装饰装修；通用航空服务（依法须经批准的项目，经相关部门批准后方可开展经营活动，具体经营项目以审批结果为准） </w:t>
      </w:r>
    </w:p>
    <w:p w14:paraId="66C5B14D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 xml:space="preserve">5.公司简介: </w:t>
      </w:r>
    </w:p>
    <w:p w14:paraId="492FB2D6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供水板块：邹城市自来水公司成立于1979年9月，2018年11月进行改制，成立邹城市自来水有限公司。类型:有限责任公司（国有控股），注册资本3600万元。统一社会信用代码91370883166122593H。公司下设邹城市城源市政工程有限公司、邹城市自来水有限公司矿区分公司、邹城市自来水有限公司思源物业分公司。负责邹城城区和兖矿片区的供水及管网安装维修等任务。</w:t>
      </w:r>
    </w:p>
    <w:p w14:paraId="04B9AE2E">
      <w:pPr>
        <w:snapToGrid w:val="0"/>
        <w:spacing w:line="62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污水板块：邹城公用水务有限公司是山东公用控股有限公司（原济宁供水集团总公司）全资子公司,成立于2010年8月。类型：有限责任公司（非自然人或控股的法人独资），注册资本5318万元，统一社会信用代码91370883561429691R。下设邹城市第一污水处理厂、邹城市第二污水处理厂和邹城市经济开发区污水处理厂，是济宁市“治、用、保、防、控”水污染防治体系中“治”和“用”的重要组成部分。主要承接并处理邹城市主城区、东城区、西南片区、孟子湖新区和经济开发区的生活污水与生产废水。另外下设邹城公用水务有限公司乡镇供水分公司。</w:t>
      </w:r>
    </w:p>
    <w:p w14:paraId="769B2804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28"/>
          <w:szCs w:val="28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二、主要会计数据和财务指标</w:t>
      </w:r>
      <w:r>
        <w:rPr>
          <w:rFonts w:ascii="Times New Roman" w:hAnsi="Times New Roman" w:eastAsia="方正黑体简体" w:cs="Times New Roman"/>
          <w:b/>
          <w:bCs/>
          <w:sz w:val="28"/>
          <w:szCs w:val="28"/>
        </w:rPr>
        <w:t>（截至到2026年3月31日）</w:t>
      </w:r>
    </w:p>
    <w:p w14:paraId="39664FE2">
      <w:pPr>
        <w:ind w:firstLine="7000" w:firstLineChars="2500"/>
        <w:rPr>
          <w:rFonts w:ascii="Times New Roman" w:hAnsi="Times New Roman" w:eastAsia="方正黑体简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方正黑体简体" w:cs="Times New Roman"/>
          <w:sz w:val="28"/>
          <w:szCs w:val="28"/>
          <w:lang w:eastAsia="zh-CN"/>
        </w:rPr>
        <w:t>单</w:t>
      </w:r>
      <w:r>
        <w:rPr>
          <w:rFonts w:ascii="Times New Roman" w:hAnsi="Times New Roman" w:eastAsia="方正黑体简体" w:cs="Times New Roman"/>
          <w:sz w:val="28"/>
          <w:szCs w:val="28"/>
        </w:rPr>
        <w:t>位： 万元</w:t>
      </w:r>
    </w:p>
    <w:tbl>
      <w:tblPr>
        <w:tblStyle w:val="5"/>
        <w:tblW w:w="8530" w:type="dxa"/>
        <w:tblInd w:w="3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3"/>
        <w:gridCol w:w="4977"/>
      </w:tblGrid>
      <w:tr w14:paraId="73E16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20DD708A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营业总收入</w:t>
            </w:r>
          </w:p>
        </w:tc>
        <w:tc>
          <w:tcPr>
            <w:tcW w:w="4977" w:type="dxa"/>
            <w:vAlign w:val="center"/>
          </w:tcPr>
          <w:p w14:paraId="5171EE79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5726.14</w:t>
            </w:r>
          </w:p>
        </w:tc>
      </w:tr>
      <w:tr w14:paraId="76187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7D535BAF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营业总成本</w:t>
            </w:r>
          </w:p>
        </w:tc>
        <w:tc>
          <w:tcPr>
            <w:tcW w:w="4977" w:type="dxa"/>
            <w:vAlign w:val="center"/>
          </w:tcPr>
          <w:p w14:paraId="0907D27E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4351.33</w:t>
            </w:r>
          </w:p>
        </w:tc>
      </w:tr>
      <w:tr w14:paraId="75C7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77E77AEF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利润总额</w:t>
            </w:r>
          </w:p>
        </w:tc>
        <w:tc>
          <w:tcPr>
            <w:tcW w:w="4977" w:type="dxa"/>
            <w:vAlign w:val="center"/>
          </w:tcPr>
          <w:p w14:paraId="5AEFFA58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1414.45</w:t>
            </w:r>
          </w:p>
        </w:tc>
      </w:tr>
      <w:tr w14:paraId="0F2EB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009EE9DF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净利润</w:t>
            </w:r>
          </w:p>
        </w:tc>
        <w:tc>
          <w:tcPr>
            <w:tcW w:w="4977" w:type="dxa"/>
            <w:vAlign w:val="center"/>
          </w:tcPr>
          <w:p w14:paraId="3250F3E2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874.02</w:t>
            </w:r>
          </w:p>
        </w:tc>
      </w:tr>
      <w:tr w14:paraId="4C66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41EBAD41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资产总额</w:t>
            </w:r>
          </w:p>
        </w:tc>
        <w:tc>
          <w:tcPr>
            <w:tcW w:w="4977" w:type="dxa"/>
            <w:vAlign w:val="center"/>
          </w:tcPr>
          <w:p w14:paraId="36DA3F31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107861.63</w:t>
            </w:r>
          </w:p>
        </w:tc>
      </w:tr>
      <w:tr w14:paraId="543F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3F5620C8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负债总额</w:t>
            </w:r>
          </w:p>
        </w:tc>
        <w:tc>
          <w:tcPr>
            <w:tcW w:w="4977" w:type="dxa"/>
            <w:vAlign w:val="center"/>
          </w:tcPr>
          <w:p w14:paraId="380D2B0D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66709.86</w:t>
            </w:r>
          </w:p>
        </w:tc>
      </w:tr>
      <w:tr w14:paraId="32E81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53" w:type="dxa"/>
            <w:vAlign w:val="center"/>
          </w:tcPr>
          <w:p w14:paraId="61C05695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所有者权益</w:t>
            </w:r>
          </w:p>
        </w:tc>
        <w:tc>
          <w:tcPr>
            <w:tcW w:w="4977" w:type="dxa"/>
            <w:vAlign w:val="center"/>
          </w:tcPr>
          <w:p w14:paraId="154B9637">
            <w:pPr>
              <w:ind w:firstLine="482"/>
              <w:jc w:val="center"/>
              <w:rPr>
                <w:rFonts w:ascii="Times New Roman" w:hAnsi="Times New Roman" w:eastAsia="方正黑体简体" w:cs="Times New Roman"/>
                <w:sz w:val="24"/>
              </w:rPr>
            </w:pPr>
            <w:r>
              <w:rPr>
                <w:rFonts w:ascii="Times New Roman" w:hAnsi="Times New Roman" w:eastAsia="方正黑体简体" w:cs="Times New Roman"/>
                <w:sz w:val="24"/>
              </w:rPr>
              <w:t>41151.77</w:t>
            </w:r>
          </w:p>
        </w:tc>
      </w:tr>
    </w:tbl>
    <w:p w14:paraId="13A3A7B5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三、财务预算执行情况</w:t>
      </w:r>
    </w:p>
    <w:p w14:paraId="411BDF29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1.营业收入：本年预算22290.00万元，截至到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2026年3月31日，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完成25.69%。</w:t>
      </w:r>
    </w:p>
    <w:p w14:paraId="5BF100FC">
      <w:pPr>
        <w:snapToGrid w:val="0"/>
        <w:spacing w:line="580" w:lineRule="exact"/>
        <w:ind w:firstLine="643" w:firstLineChars="200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2.利润总额：本年预算4960.00万元，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</w:rPr>
        <w:t>截止到2026年3月31日，</w:t>
      </w: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完成28.52%。</w:t>
      </w:r>
    </w:p>
    <w:p w14:paraId="16A65949">
      <w:pPr>
        <w:snapToGrid w:val="0"/>
        <w:spacing w:line="580" w:lineRule="exact"/>
        <w:ind w:firstLine="643" w:firstLineChars="200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四、年度一季度内发生的重大事项及对公司的影响</w:t>
      </w:r>
    </w:p>
    <w:p w14:paraId="482824CD">
      <w:pPr>
        <w:spacing w:line="600" w:lineRule="exact"/>
        <w:ind w:firstLine="643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ascii="Times New Roman" w:hAnsi="Times New Roman" w:eastAsia="方正仿宋简体" w:cs="Times New Roman"/>
          <w:b/>
          <w:bCs/>
          <w:sz w:val="32"/>
          <w:szCs w:val="32"/>
        </w:rPr>
        <w:t>无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WY1MTZiMTkyZjJiYmE4ZmY2NmQ4YzIyODA0ODMifQ=="/>
  </w:docVars>
  <w:rsids>
    <w:rsidRoot w:val="6AB4322B"/>
    <w:rsid w:val="001A49F6"/>
    <w:rsid w:val="005C0762"/>
    <w:rsid w:val="00675170"/>
    <w:rsid w:val="008A7C6C"/>
    <w:rsid w:val="00933C62"/>
    <w:rsid w:val="009F7C6C"/>
    <w:rsid w:val="00B25BE2"/>
    <w:rsid w:val="00CC7306"/>
    <w:rsid w:val="00DB76B1"/>
    <w:rsid w:val="00DC499C"/>
    <w:rsid w:val="00FC4455"/>
    <w:rsid w:val="01513262"/>
    <w:rsid w:val="0ACF2B62"/>
    <w:rsid w:val="0F1E38B6"/>
    <w:rsid w:val="159746F8"/>
    <w:rsid w:val="15B20322"/>
    <w:rsid w:val="194A27D4"/>
    <w:rsid w:val="19560A59"/>
    <w:rsid w:val="1C496371"/>
    <w:rsid w:val="1C6A09FF"/>
    <w:rsid w:val="1F884F29"/>
    <w:rsid w:val="25552681"/>
    <w:rsid w:val="262858AA"/>
    <w:rsid w:val="29D47C5C"/>
    <w:rsid w:val="2A4822AF"/>
    <w:rsid w:val="2AE3381B"/>
    <w:rsid w:val="2C00008A"/>
    <w:rsid w:val="2C57390B"/>
    <w:rsid w:val="2C897364"/>
    <w:rsid w:val="2F5B6160"/>
    <w:rsid w:val="313A08A1"/>
    <w:rsid w:val="325C3B88"/>
    <w:rsid w:val="34621C87"/>
    <w:rsid w:val="35507CB7"/>
    <w:rsid w:val="37A833B1"/>
    <w:rsid w:val="3DE547AF"/>
    <w:rsid w:val="3FF0557B"/>
    <w:rsid w:val="40076CDF"/>
    <w:rsid w:val="4196681A"/>
    <w:rsid w:val="419C0824"/>
    <w:rsid w:val="435102B4"/>
    <w:rsid w:val="43B93A2D"/>
    <w:rsid w:val="44244964"/>
    <w:rsid w:val="451F79D6"/>
    <w:rsid w:val="4AAF6B96"/>
    <w:rsid w:val="4B383288"/>
    <w:rsid w:val="4D1E6F8E"/>
    <w:rsid w:val="4EDF4B7A"/>
    <w:rsid w:val="51FD3E96"/>
    <w:rsid w:val="54DC2DE3"/>
    <w:rsid w:val="560C0B37"/>
    <w:rsid w:val="57404164"/>
    <w:rsid w:val="577503FF"/>
    <w:rsid w:val="582547F8"/>
    <w:rsid w:val="58310BA5"/>
    <w:rsid w:val="59D14119"/>
    <w:rsid w:val="5DED613B"/>
    <w:rsid w:val="5E145AF2"/>
    <w:rsid w:val="5E4D661B"/>
    <w:rsid w:val="5E973CA5"/>
    <w:rsid w:val="5F412942"/>
    <w:rsid w:val="5F5024B8"/>
    <w:rsid w:val="60785E58"/>
    <w:rsid w:val="615E2103"/>
    <w:rsid w:val="679F0F2F"/>
    <w:rsid w:val="68EE70EE"/>
    <w:rsid w:val="699C711B"/>
    <w:rsid w:val="6AB4322B"/>
    <w:rsid w:val="6D3C65BE"/>
    <w:rsid w:val="72870930"/>
    <w:rsid w:val="74273DB3"/>
    <w:rsid w:val="75D26FF0"/>
    <w:rsid w:val="769F729E"/>
    <w:rsid w:val="77725C16"/>
    <w:rsid w:val="77CA25B9"/>
    <w:rsid w:val="78205E41"/>
    <w:rsid w:val="798A6962"/>
    <w:rsid w:val="7B4D4E5D"/>
    <w:rsid w:val="7E6C6F4E"/>
    <w:rsid w:val="7FC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1067</Words>
  <Characters>1213</Characters>
  <Lines>8</Lines>
  <Paragraphs>2</Paragraphs>
  <TotalTime>15</TotalTime>
  <ScaleCrop>false</ScaleCrop>
  <LinksUpToDate>false</LinksUpToDate>
  <CharactersWithSpaces>1218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2024-04-24T08:12:00Z</dcterms:created>
  <dc:creator>夏顺意</dc:creator>
  <cp:lastModifiedBy>张娜</cp:lastModifiedBy>
  <dcterms:modified xsi:type="dcterms:W3CDTF">2026-05-04T15:01:32Z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66E7F62AEDD34F219EDA3D3F8DDCC14A_13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