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"/>
        </w:tabs>
        <w:spacing w:line="600" w:lineRule="exact"/>
        <w:ind w:firstLine="649" w:firstLineChars="147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济宁市财信金科小额贷款股份有限公司</w:t>
      </w:r>
    </w:p>
    <w:p>
      <w:pPr>
        <w:tabs>
          <w:tab w:val="left" w:pos="666"/>
        </w:tabs>
        <w:spacing w:line="600" w:lineRule="exact"/>
        <w:ind w:firstLine="649" w:firstLineChars="147"/>
        <w:jc w:val="center"/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b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b/>
          <w:bCs w:val="0"/>
          <w:sz w:val="44"/>
          <w:szCs w:val="44"/>
          <w:lang w:eastAsia="zh-CN"/>
        </w:rPr>
        <w:t>三季度</w:t>
      </w:r>
      <w:r>
        <w:rPr>
          <w:rFonts w:hint="eastAsia" w:ascii="方正小标宋简体" w:hAnsi="仿宋" w:eastAsia="方正小标宋简体"/>
          <w:b/>
          <w:sz w:val="44"/>
          <w:szCs w:val="44"/>
        </w:rPr>
        <w:t>财务等重大信息</w:t>
      </w: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公开</w:t>
      </w:r>
    </w:p>
    <w:p>
      <w:pPr>
        <w:tabs>
          <w:tab w:val="left" w:pos="666"/>
        </w:tabs>
        <w:spacing w:line="600" w:lineRule="exact"/>
        <w:ind w:firstLine="531" w:firstLineChars="147"/>
        <w:jc w:val="center"/>
        <w:rPr>
          <w:rFonts w:ascii="方正小标宋简体" w:hAnsi="仿宋" w:eastAsia="方正小标宋简体"/>
          <w:b/>
          <w:sz w:val="36"/>
          <w:szCs w:val="36"/>
        </w:rPr>
      </w:pPr>
    </w:p>
    <w:p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一、公司基本情况 </w:t>
      </w:r>
    </w:p>
    <w:p>
      <w:pPr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1.公司名称：济宁市财信金科小额贷款股份有限公司</w:t>
      </w:r>
    </w:p>
    <w:p>
      <w:pPr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2.法定代表人：刘雪峰</w:t>
      </w:r>
    </w:p>
    <w:p>
      <w:pPr>
        <w:ind w:firstLine="630" w:firstLineChars="196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3.注册地址：济宁市任城区环城北路19号关帝庙金融街</w:t>
      </w:r>
    </w:p>
    <w:p>
      <w:pPr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4.经营范围：在山东省范围内，办理各项小额贷款，股权投资（总投资额不超过注册资本的30%），委托贷款，开展小企业发展、管理、财务等咨询业务，其他经批准的业务。</w:t>
      </w:r>
    </w:p>
    <w:p>
      <w:pPr>
        <w:ind w:firstLine="630" w:firstLineChars="196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5.公司简介: 公司成立于2013年11月，成立之初注册资本2.2亿元, 隶属于市政府投融资管理中心。2016年底，公司增资至5亿元，隶属于山东公用控股有限公司。</w:t>
      </w:r>
    </w:p>
    <w:p>
      <w:pPr>
        <w:ind w:firstLine="630" w:firstLineChars="196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公司自成立以来，一直以助推小微、三农企业发展为己任，注重发挥小贷公司“短、平、快”的优势，为济宁市实体经济的发展提供了多层次、多元化的金融服务。公司现有员工4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人，下设业务发展部、风险控制部、法律合规部、资产管理部、预算财务部、综合管理部，已逐步打造出一个专业高效、充满活力的经营团队。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公司共8家股东，实收资本 50000万元。其中，国有股东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家，股份4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4502.88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万元，占比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89.01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%；民营股东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家，股份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5497.12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万元，占比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10.99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 xml:space="preserve">%。  </w:t>
      </w:r>
    </w:p>
    <w:p>
      <w:pPr>
        <w:ind w:firstLine="630" w:firstLineChars="196"/>
        <w:rPr>
          <w:rFonts w:ascii="Times New Roman" w:hAnsi="Times New Roman" w:eastAsia="方正仿宋简体" w:cs="Times New Roman"/>
          <w:b/>
          <w:sz w:val="32"/>
          <w:szCs w:val="32"/>
        </w:rPr>
      </w:pPr>
    </w:p>
    <w:p>
      <w:pPr>
        <w:tabs>
          <w:tab w:val="left" w:pos="666"/>
        </w:tabs>
        <w:spacing w:line="500" w:lineRule="exact"/>
        <w:ind w:firstLine="630" w:firstLineChars="196"/>
        <w:rPr>
          <w:rFonts w:ascii="方正黑体简体" w:hAnsi="仿宋" w:eastAsia="方正黑体简体"/>
          <w:b/>
          <w:sz w:val="32"/>
          <w:szCs w:val="32"/>
        </w:rPr>
      </w:pPr>
      <w:r>
        <w:rPr>
          <w:rFonts w:hint="eastAsia" w:ascii="方正黑体简体" w:hAnsi="仿宋" w:eastAsia="方正黑体简体"/>
          <w:b/>
          <w:color w:val="000000"/>
          <w:sz w:val="32"/>
          <w:szCs w:val="32"/>
        </w:rPr>
        <w:t>二、主要财务数据会计指标</w:t>
      </w:r>
    </w:p>
    <w:p>
      <w:pPr>
        <w:ind w:firstLine="643" w:firstLineChars="200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资产总额：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73664.48万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元；负债总额：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13455.74万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元；所有者权益：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60208.74万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元；营业收入：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5346万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元；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营业成本：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3372.56万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元；利润总额：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1948.59万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元；净利润：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1340.17万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元。</w:t>
      </w:r>
    </w:p>
    <w:p>
      <w:pPr>
        <w:pStyle w:val="4"/>
        <w:spacing w:line="500" w:lineRule="exact"/>
        <w:ind w:firstLine="64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三、财务预算执行情况</w:t>
      </w:r>
    </w:p>
    <w:p>
      <w:pPr>
        <w:ind w:firstLine="630" w:firstLineChars="196"/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营业收入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5346万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元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，预算累计应完成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75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%，实际完成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87.15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；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营业成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本：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3372.56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元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预算累计应完成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75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%，实际完成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150.9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%；利润总额：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1948.59万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元，预算累计应完成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75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%，实际完成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71.32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%,；净利润：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1340.17万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元，预算累计应完成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75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%，实际完成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65.41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。</w:t>
      </w:r>
    </w:p>
    <w:p>
      <w:pPr>
        <w:rPr>
          <w:rFonts w:ascii="Times New Roman" w:hAnsi="Times New Roman" w:eastAsia="方正仿宋简体" w:cs="Times New Roman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2E1AF8-42DC-4804-9D93-9632DB4E9A16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D715901-67F9-45A4-ACB4-2E391346AE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154F6DB-ADE2-4F1E-9B31-C6256B005AC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FCDC5F1-E99D-4284-9A34-37FA657AD37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E04A2A2-10D8-44BC-82B5-90D7C59916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NWQ5N2E3ZmRkM2YzYTAyZTMzZjdmNjkwMjA3NGEifQ=="/>
  </w:docVars>
  <w:rsids>
    <w:rsidRoot w:val="00000000"/>
    <w:rsid w:val="0507394A"/>
    <w:rsid w:val="0D875D93"/>
    <w:rsid w:val="17033CFE"/>
    <w:rsid w:val="21C30312"/>
    <w:rsid w:val="22F55F7B"/>
    <w:rsid w:val="26EC77AD"/>
    <w:rsid w:val="2BBE56A5"/>
    <w:rsid w:val="3D200CEB"/>
    <w:rsid w:val="3DB1742C"/>
    <w:rsid w:val="418A09F4"/>
    <w:rsid w:val="470F4800"/>
    <w:rsid w:val="471C6446"/>
    <w:rsid w:val="4C1602AB"/>
    <w:rsid w:val="4C1C66ED"/>
    <w:rsid w:val="4E466DDB"/>
    <w:rsid w:val="64267CB1"/>
    <w:rsid w:val="68BE7F21"/>
    <w:rsid w:val="6A072332"/>
    <w:rsid w:val="7A022D86"/>
    <w:rsid w:val="7A800448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784</Characters>
  <Lines>0</Lines>
  <Paragraphs>0</Paragraphs>
  <TotalTime>125</TotalTime>
  <ScaleCrop>false</ScaleCrop>
  <LinksUpToDate>false</LinksUpToDate>
  <CharactersWithSpaces>790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2024-08-15T23:56:00Z</dcterms:created>
  <dc:creator>Administrator</dc:creator>
  <cp:lastModifiedBy>张娜</cp:lastModifiedBy>
  <cp:lastPrinted>2025-10-29T07:14:00Z</cp:lastPrinted>
  <dcterms:modified xsi:type="dcterms:W3CDTF">2025-11-01T07:52:17Z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D1E0537C89B14D38BDFBC4821F3C93B5_13</vt:lpwstr>
  </property>
  <property fmtid="{D5CDD505-2E9C-101B-9397-08002B2CF9AE}" pid="4" name="KSOTemplateDocerSaveRecord">
    <vt:lpwstr>eyJoZGlkIjoiYzUzNWQ5N2E3ZmRkM2YzYTAyZTMzZjdmNjkwMjA3NGEiLCJ1c2VySWQiOiI4NjcyNDEwNzgifQ==</vt:lpwstr>
  </property>
</Properties>
</file>