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山东公用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康养发展集团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有限公司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三季度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财务等重大信息公开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黑体简体" w:cs="Times New Roman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一、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公司基本情况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（一）基本信息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1.名    称：山东公用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康养发展集团</w:t>
      </w:r>
      <w:r>
        <w:rPr>
          <w:rFonts w:hint="default" w:ascii="Times New Roman" w:hAnsi="Times New Roman" w:eastAsia="方正仿宋简体" w:cs="Times New Roman"/>
          <w:b/>
          <w:bCs/>
          <w:lang w:val="en-US"/>
        </w:rPr>
        <w:t>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2.企业类型：有限责任公司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2019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/>
        </w:rPr>
        <w:t>-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/>
        </w:rPr>
        <w:t>-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01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张  毅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山东省济宁北湖省级旅游度假区许庄街道京投总部大厦A02-112室(济宁北湖省级旅游度假区济安桥南路以西常利路以北)（一照多址）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6.公司经营范围：一般项目：养生保健服务（非医疗）；养老服务；护理机构服务（不含医疗服务）；母婴生活护理（不含医疗服务）；家政服务；健康咨询服务（不含诊疗服务）；假肢和矫形器（辅助器具）生产装配；康复辅具适配服务；物业管理；会议及展览服务；第一类医疗器械销售；第一类医疗设备租赁；第二类医疗设备租赁；第二类医疗器械销售。（除依法须经批准的项目外，凭营业执照依法自主开展经营活动）许可项目：住宿服务；旅游业务。（依法须经批准的项目，经相关部门批准后方可开展经营活动，具体经营项目以相关部门批准文件或许可证件为准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（二）公司简介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山东公用康养发展集团（山东公用控股有限公司与山东京投集团投资成立）统筹运营的康养社区是“CCRC持续照料式、医康养深度融合”的高品质全龄友好社区，康养集团下设山东公用颐养有限公司、山东公用康复医院有限公司、山东公用中央厨房有限公司，分别承接养老护理、医疗康复、全方位保障三大业务板块。</w:t>
      </w:r>
    </w:p>
    <w:p>
      <w:pPr>
        <w:pStyle w:val="3"/>
        <w:spacing w:after="0" w:line="579" w:lineRule="exact"/>
        <w:ind w:firstLine="643" w:firstLineChars="200"/>
        <w:jc w:val="both"/>
        <w:rPr>
          <w:rFonts w:hint="eastAsia"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二、主要会计数据和财务指标</w:t>
      </w:r>
    </w:p>
    <w:p>
      <w:pPr>
        <w:pStyle w:val="3"/>
        <w:spacing w:after="0" w:line="579" w:lineRule="exact"/>
        <w:jc w:val="center"/>
        <w:rPr>
          <w:rFonts w:hint="eastAsia" w:ascii="方正黑体简体" w:hAnsi="方正黑体简体" w:eastAsia="方正黑体简体" w:cs="方正黑体简体"/>
          <w:b/>
          <w:bCs/>
          <w:lang w:val="en-US"/>
        </w:rPr>
      </w:pPr>
      <w:r>
        <w:rPr>
          <w:rFonts w:ascii="Times New Roman" w:hAnsi="Times New Roman" w:eastAsia="方正黑体简体" w:cs="Times New Roman"/>
          <w:b/>
          <w:bCs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lang w:val="en-US"/>
        </w:rPr>
        <w:t>5</w:t>
      </w:r>
      <w:r>
        <w:rPr>
          <w:rFonts w:ascii="Times New Roman" w:hAnsi="Times New Roman" w:eastAsia="方正黑体简体" w:cs="Times New Roman"/>
          <w:b/>
          <w:bCs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lang w:val="en-US"/>
        </w:rPr>
        <w:t>第三季度</w:t>
      </w:r>
      <w:r>
        <w:rPr>
          <w:rFonts w:ascii="Times New Roman" w:hAnsi="Times New Roman" w:eastAsia="方正黑体简体" w:cs="Times New Roman"/>
          <w:b/>
          <w:bCs/>
          <w:lang w:val="en-US"/>
        </w:rPr>
        <w:t>主要财务数据</w:t>
      </w:r>
    </w:p>
    <w:p>
      <w:pPr>
        <w:pStyle w:val="3"/>
        <w:spacing w:line="579" w:lineRule="exact"/>
        <w:ind w:firstLine="6325" w:firstLineChars="2100"/>
        <w:jc w:val="both"/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/>
        </w:rPr>
        <w:t>单位：人民币万元</w:t>
      </w:r>
    </w:p>
    <w:tbl>
      <w:tblPr>
        <w:tblStyle w:val="7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940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20" w:type="dxa"/>
          </w:tcPr>
          <w:p>
            <w:pPr>
              <w:pStyle w:val="3"/>
              <w:spacing w:line="579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  <w:t>项  目</w:t>
            </w:r>
          </w:p>
        </w:tc>
        <w:tc>
          <w:tcPr>
            <w:tcW w:w="2940" w:type="dxa"/>
          </w:tcPr>
          <w:p>
            <w:pPr>
              <w:pStyle w:val="3"/>
              <w:spacing w:line="579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  <w:t>本期金额</w:t>
            </w:r>
          </w:p>
        </w:tc>
        <w:tc>
          <w:tcPr>
            <w:tcW w:w="2910" w:type="dxa"/>
          </w:tcPr>
          <w:p>
            <w:pPr>
              <w:pStyle w:val="3"/>
              <w:spacing w:line="579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  <w:t>上期金额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2820" w:type="dxa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  <w:t>营业总收入</w:t>
            </w:r>
          </w:p>
        </w:tc>
        <w:tc>
          <w:tcPr>
            <w:tcW w:w="2940" w:type="dxa"/>
            <w:vAlign w:val="center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/>
              </w:rPr>
              <w:t>466.03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/>
              </w:rPr>
              <w:t>272.08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20" w:type="dxa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  <w:t>营业总成本</w:t>
            </w:r>
          </w:p>
        </w:tc>
        <w:tc>
          <w:tcPr>
            <w:tcW w:w="2940" w:type="dxa"/>
            <w:vAlign w:val="center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1899.35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/>
              </w:rPr>
              <w:t>1089.27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20" w:type="dxa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  <w:t>利润总额</w:t>
            </w:r>
          </w:p>
        </w:tc>
        <w:tc>
          <w:tcPr>
            <w:tcW w:w="2940" w:type="dxa"/>
            <w:vAlign w:val="center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-1189.37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/>
              </w:rPr>
              <w:t>-817.18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20" w:type="dxa"/>
          </w:tcPr>
          <w:p>
            <w:pPr>
              <w:pStyle w:val="3"/>
              <w:spacing w:line="579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lang w:val="en-US" w:bidi="ar-SA"/>
              </w:rPr>
              <w:t>项  目</w:t>
            </w:r>
          </w:p>
        </w:tc>
        <w:tc>
          <w:tcPr>
            <w:tcW w:w="2940" w:type="dxa"/>
          </w:tcPr>
          <w:p>
            <w:pPr>
              <w:pStyle w:val="3"/>
              <w:spacing w:line="579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lang w:val="en-US" w:bidi="ar-SA"/>
              </w:rPr>
              <w:t>期末余额</w:t>
            </w:r>
          </w:p>
        </w:tc>
        <w:tc>
          <w:tcPr>
            <w:tcW w:w="2910" w:type="dxa"/>
          </w:tcPr>
          <w:p>
            <w:pPr>
              <w:pStyle w:val="3"/>
              <w:spacing w:line="579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lang w:val="en-US" w:bidi="ar-SA"/>
              </w:rPr>
              <w:t>期初余额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20" w:type="dxa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资产总额</w:t>
            </w:r>
          </w:p>
        </w:tc>
        <w:tc>
          <w:tcPr>
            <w:tcW w:w="2940" w:type="dxa"/>
            <w:vAlign w:val="center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48735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20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/>
              </w:rPr>
              <w:t>48510.27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20" w:type="dxa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负债总额</w:t>
            </w:r>
          </w:p>
        </w:tc>
        <w:tc>
          <w:tcPr>
            <w:tcW w:w="2940" w:type="dxa"/>
            <w:vAlign w:val="center"/>
          </w:tcPr>
          <w:p>
            <w:pPr>
              <w:pStyle w:val="3"/>
              <w:spacing w:line="579" w:lineRule="exact"/>
              <w:ind w:firstLine="964" w:firstLineChars="300"/>
              <w:jc w:val="left"/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3686.26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4678.16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20" w:type="dxa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所有者权益</w:t>
            </w:r>
          </w:p>
        </w:tc>
        <w:tc>
          <w:tcPr>
            <w:tcW w:w="2940" w:type="dxa"/>
            <w:vAlign w:val="center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45048.94</w:t>
            </w:r>
          </w:p>
        </w:tc>
        <w:tc>
          <w:tcPr>
            <w:tcW w:w="2910" w:type="dxa"/>
            <w:vAlign w:val="center"/>
          </w:tcPr>
          <w:p>
            <w:pPr>
              <w:pStyle w:val="3"/>
              <w:spacing w:line="579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43832.11</w:t>
            </w:r>
          </w:p>
        </w:tc>
      </w:tr>
    </w:tbl>
    <w:p>
      <w:pPr>
        <w:spacing w:after="0" w:line="579" w:lineRule="exact"/>
        <w:ind w:left="640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 xml:space="preserve">   </w:t>
      </w:r>
    </w:p>
    <w:p>
      <w:pPr>
        <w:spacing w:after="0" w:line="579" w:lineRule="exact"/>
        <w:ind w:firstLine="645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  <w:t>第三季度，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公司实现营业总收入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  <w:t>466.03万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元，完成全年预算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  <w:t>2230万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元的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  <w:t>20.90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%；实现利润总额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  <w:t>-1189.37万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元，完成全年预算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  <w:t>-2200万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元的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/>
        </w:rPr>
        <w:t>-54.06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9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  <w:t>四、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季度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  <w:t>内重大事项及对企业的影响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  <w:t>健康管理中心为本单位重点投资项目，该项目于4月份正式启动装饰装修相关工作。施工期间，项目团队严格把控工程质量与进度，科学统筹施工流程，有效保障了各项建设任务有序推进，于7月中旬顺利完成竣工。目前，健康管理中心已正式投入运营，开展专业的健康体检、健康评估、健康咨询等服务，为实现医康养深度融合的健康管理需求、完善公司康养服务体系发挥重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4498" w:firstLineChars="14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wOWIyY2ZkNzVjMDQ2NzQ1MDM0Y2JhOGVjNGRlMzQ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34136"/>
    <w:rsid w:val="007A0DD0"/>
    <w:rsid w:val="007A5A03"/>
    <w:rsid w:val="007A7033"/>
    <w:rsid w:val="007E6DD0"/>
    <w:rsid w:val="008001A9"/>
    <w:rsid w:val="00806BE9"/>
    <w:rsid w:val="0084054E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41CD1"/>
    <w:rsid w:val="00B860E7"/>
    <w:rsid w:val="00BA25C7"/>
    <w:rsid w:val="00BD36F7"/>
    <w:rsid w:val="00BD63E3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9DA05F6"/>
    <w:rsid w:val="0C1300BA"/>
    <w:rsid w:val="0F992348"/>
    <w:rsid w:val="11D529E3"/>
    <w:rsid w:val="16B56AEF"/>
    <w:rsid w:val="17303DFB"/>
    <w:rsid w:val="208262A6"/>
    <w:rsid w:val="2E9539DE"/>
    <w:rsid w:val="2F690913"/>
    <w:rsid w:val="32211C11"/>
    <w:rsid w:val="32DA0AFB"/>
    <w:rsid w:val="33C94041"/>
    <w:rsid w:val="359C4116"/>
    <w:rsid w:val="365668DF"/>
    <w:rsid w:val="38D70866"/>
    <w:rsid w:val="3DAF67A1"/>
    <w:rsid w:val="3EB218E1"/>
    <w:rsid w:val="40BD03D8"/>
    <w:rsid w:val="46625A9C"/>
    <w:rsid w:val="4CBF63EB"/>
    <w:rsid w:val="4F780FD9"/>
    <w:rsid w:val="506050FC"/>
    <w:rsid w:val="59C31ACA"/>
    <w:rsid w:val="5D195C77"/>
    <w:rsid w:val="5E5E5DDC"/>
    <w:rsid w:val="5FFC0099"/>
    <w:rsid w:val="62241ADD"/>
    <w:rsid w:val="634E4640"/>
    <w:rsid w:val="64976E08"/>
    <w:rsid w:val="64EF25F5"/>
    <w:rsid w:val="65A215B9"/>
    <w:rsid w:val="67C52FC9"/>
    <w:rsid w:val="69C87DB9"/>
    <w:rsid w:val="6AF93B69"/>
    <w:rsid w:val="6C7F11E6"/>
    <w:rsid w:val="6D316FBD"/>
    <w:rsid w:val="6D4E30D4"/>
    <w:rsid w:val="730E4732"/>
    <w:rsid w:val="7392607D"/>
    <w:rsid w:val="73FE1D6C"/>
    <w:rsid w:val="746005BD"/>
    <w:rsid w:val="76323B4E"/>
    <w:rsid w:val="79CE69E1"/>
    <w:rsid w:val="7CEC5581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after="160" w:line="278" w:lineRule="auto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898</Words>
  <Characters>1037</Characters>
  <Lines>11</Lines>
  <Paragraphs>3</Paragraphs>
  <TotalTime>1</TotalTime>
  <ScaleCrop>false</ScaleCrop>
  <LinksUpToDate>false</LinksUpToDate>
  <CharactersWithSpaces>1050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2025-08-28T09:37:00Z</dcterms:created>
  <dc:creator>lenovo</dc:creator>
  <cp:lastModifiedBy>张娜</cp:lastModifiedBy>
  <cp:lastPrinted>2022-08-29T09:18:00Z</cp:lastPrinted>
  <dcterms:modified xsi:type="dcterms:W3CDTF">2025-11-01T07:51:24Z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0A209702C2C149B78E1AAC383096B967_13</vt:lpwstr>
  </property>
  <property fmtid="{D5CDD505-2E9C-101B-9397-08002B2CF9AE}" pid="4" name="KSOTemplateDocerSaveRecord">
    <vt:lpwstr>eyJoZGlkIjoiZDk4MjEwMzIxZjgwZTM5YTc5Y2M3Zjk0ZDdmZjNlOGYiLCJ1c2VySWQiOiIxMTUwMzI4MTMxIn0=</vt:lpwstr>
  </property>
</Properties>
</file>