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济宁市黄淮水利勘测设计院有限公司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三季度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财务等重大信息公开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 w:bidi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/>
        </w:rPr>
        <w:t>公司基本情况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（一）</w:t>
      </w: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基本信息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公司名称：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济宁市黄淮水利勘测设计院有限公司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类    型：有限责任公司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非自然人投资或控股的法人独资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法定代表人：张海涛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注册资金：伍佰贰拾万元整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注册地址：济宁市红星中路17号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经营范围：水利工程设计、勘察、测绘、咨询、工程造价咨询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以上均凭资质证书开展经营活动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依法须经批准的项目，经相关部门批准后方可开展经营活动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/>
        </w:rPr>
        <w:t>（二）公司简介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济宁市黄淮水利勘测设计院有限公司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前身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为济宁市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水利局规划设计室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成立于1979年，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隶属于济宁市水利局。2022年4月，转企改制为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济宁市黄淮水利勘测设计院有限公司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为山东公用水利发展集团有限公司的子公司。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经过40多年的发展，现已成为集水利水电工程咨询、规划、勘察、设计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6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测绘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于一体的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地市级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水利行业勘测设计强院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目前拥有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工程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咨询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单位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甲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级资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信证书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、工程勘察专业乙级资质、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highlight w:val="none"/>
        </w:rPr>
        <w:t>工程设计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highlight w:val="none"/>
          <w:lang w:val="en-US" w:eastAsia="zh-CN"/>
        </w:rPr>
        <w:t>专业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highlight w:val="none"/>
        </w:rPr>
        <w:t>乙级资质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工程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测绘资质乙级、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水资源论证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资质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乙级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、水文水资源调查评价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单位水平评价乙级，水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土保持方案编制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单位水平评价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2星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等资质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通过了环境管理体系、职业健康安全管理体系、质量管理体系三体系认证及水利安全生产标准化二级单位认证，企业信用等级AAA认证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专业齐全、设备精良，经济实力和技术实力雄厚，拥有先进的规划、设计、勘探、测量等专业技术人员和设备。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现有在职职工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46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人，其中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正高级工程师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人，高级工程师1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人，中级职称1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人，初级职称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人，各类注册工程师18人。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公司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自成立以来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</w:rPr>
        <w:t>坚持“系统规划、精心设计、创造精品、顾客满意”的质量方针，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秉承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为客户创造价值，为公司创造效益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为员工创造未来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的企业使命，立足水利，面向社会，竭诚为客户提供更加优质高效的服务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6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主要会计数据和财务指标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3" w:firstLineChars="200"/>
        <w:jc w:val="center"/>
        <w:textAlignment w:val="auto"/>
        <w:rPr>
          <w:rFonts w:hint="eastAsia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2025年前三季度主要财务数据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Chars="200" w:right="0" w:rightChars="0"/>
        <w:jc w:val="right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单位：人民币万元</w:t>
      </w:r>
    </w:p>
    <w:tbl>
      <w:tblPr>
        <w:tblStyle w:val="3"/>
        <w:tblW w:w="9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906"/>
        <w:gridCol w:w="2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年同期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2601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920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1683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15274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1379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13895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13429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财务预算执行情况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前三季度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实现营业总收入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2601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78.82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%；实现利润总额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1683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177.16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%；实现净利润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1302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182.60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%。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本季度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内发生的重大事项及对公司的影响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60868B2-5EE5-404C-9893-7147684A90C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89F0FFB-40AF-4092-B8FE-39873159920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11DAF71-57A8-4C3A-9549-B39F9C80B9E5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72B2DBA-C1AB-4C04-8866-87324082B8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Njk3Y2I1YTRlYmE5MmFkOTBkMDNjYmY3YWE5MDYifQ=="/>
  </w:docVars>
  <w:rsids>
    <w:rsidRoot w:val="00000000"/>
    <w:rsid w:val="04A844E4"/>
    <w:rsid w:val="0CCC0484"/>
    <w:rsid w:val="10620648"/>
    <w:rsid w:val="10A249D6"/>
    <w:rsid w:val="1C4A6EF4"/>
    <w:rsid w:val="21AF0D4C"/>
    <w:rsid w:val="25587FAA"/>
    <w:rsid w:val="25A13254"/>
    <w:rsid w:val="25B7725E"/>
    <w:rsid w:val="30E60718"/>
    <w:rsid w:val="32000761"/>
    <w:rsid w:val="39B2737C"/>
    <w:rsid w:val="3B2C199B"/>
    <w:rsid w:val="3ECE357C"/>
    <w:rsid w:val="41705385"/>
    <w:rsid w:val="41E60139"/>
    <w:rsid w:val="4531764A"/>
    <w:rsid w:val="48E0603D"/>
    <w:rsid w:val="4C6663BC"/>
    <w:rsid w:val="4F495EC5"/>
    <w:rsid w:val="562D27F8"/>
    <w:rsid w:val="56C33074"/>
    <w:rsid w:val="590D7AE9"/>
    <w:rsid w:val="5C7C3383"/>
    <w:rsid w:val="60BD7648"/>
    <w:rsid w:val="62544820"/>
    <w:rsid w:val="629E1902"/>
    <w:rsid w:val="67B7300C"/>
    <w:rsid w:val="6A4F3439"/>
    <w:rsid w:val="6B756129"/>
    <w:rsid w:val="6BE86497"/>
    <w:rsid w:val="6C5B07EC"/>
    <w:rsid w:val="72E17896"/>
    <w:rsid w:val="75786D3D"/>
    <w:rsid w:val="76421E08"/>
    <w:rsid w:val="779D4F53"/>
    <w:rsid w:val="7AD236C2"/>
    <w:rsid w:val="7CC6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894</Words>
  <Characters>981</Characters>
  <Lines>0</Lines>
  <Paragraphs>0</Paragraphs>
  <TotalTime>25</TotalTime>
  <ScaleCrop>false</ScaleCrop>
  <LinksUpToDate>false</LinksUpToDate>
  <CharactersWithSpaces>985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2023-08-24T04:08:00Z</dcterms:created>
  <dc:creator>联想电脑</dc:creator>
  <cp:lastModifiedBy>张娜</cp:lastModifiedBy>
  <cp:lastPrinted>2025-08-19T03:04:00Z</cp:lastPrinted>
  <dcterms:modified xsi:type="dcterms:W3CDTF">2025-11-01T07:19:18Z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B09ADDAEEACA470E9B249F5F13270305_13</vt:lpwstr>
  </property>
  <property fmtid="{D5CDD505-2E9C-101B-9397-08002B2CF9AE}" pid="4" name="KSOTemplateDocerSaveRecord">
    <vt:lpwstr>eyJoZGlkIjoiMGRjNWY5OTg0ZDUxNjU5OGYzNGQ3MWM0NTBkODA0OTkiLCJ1c2VySWQiOiI5NDUzNTA5ODUifQ==</vt:lpwstr>
  </property>
</Properties>
</file>