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山东公用工程管理有限公司</w:t>
      </w:r>
    </w:p>
    <w:p>
      <w:pPr>
        <w:spacing w:line="60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202</w:t>
      </w:r>
      <w:r>
        <w:rPr>
          <w:rFonts w:hint="eastAsia" w:ascii="Times New Roman" w:hAnsi="Times New Roman" w:eastAsia="方正小标宋简体" w:cs="Times New Roman"/>
          <w:b/>
          <w:bCs/>
          <w:sz w:val="44"/>
          <w:szCs w:val="44"/>
        </w:rPr>
        <w:t>5</w:t>
      </w:r>
      <w:r>
        <w:rPr>
          <w:rFonts w:ascii="Times New Roman" w:hAnsi="Times New Roman" w:eastAsia="方正小标宋简体" w:cs="Times New Roman"/>
          <w:b/>
          <w:bCs/>
          <w:sz w:val="44"/>
          <w:szCs w:val="44"/>
        </w:rPr>
        <w:t>年</w:t>
      </w:r>
      <w:r>
        <w:rPr>
          <w:rFonts w:hint="eastAsia" w:ascii="Times New Roman" w:hAnsi="Times New Roman" w:eastAsia="方正小标宋简体" w:cs="Times New Roman"/>
          <w:b/>
          <w:bCs/>
          <w:sz w:val="44"/>
          <w:szCs w:val="44"/>
          <w:lang w:val="en-US" w:eastAsia="zh-CN"/>
        </w:rPr>
        <w:t>三季度</w:t>
      </w:r>
      <w:r>
        <w:rPr>
          <w:rFonts w:ascii="Times New Roman" w:hAnsi="Times New Roman" w:eastAsia="方正小标宋简体" w:cs="Times New Roman"/>
          <w:b/>
          <w:bCs/>
          <w:sz w:val="44"/>
          <w:szCs w:val="44"/>
        </w:rPr>
        <w:t>财务等重大信息公开</w:t>
      </w:r>
    </w:p>
    <w:p>
      <w:pPr>
        <w:spacing w:line="600" w:lineRule="exact"/>
        <w:jc w:val="center"/>
        <w:rPr>
          <w:rFonts w:ascii="Times New Roman" w:hAnsi="Times New Roman" w:eastAsia="方正小标宋简体" w:cs="Times New Roman"/>
          <w:b/>
          <w:bCs/>
          <w:sz w:val="44"/>
          <w:szCs w:val="44"/>
        </w:rPr>
      </w:pPr>
    </w:p>
    <w:p>
      <w:pPr>
        <w:spacing w:line="600" w:lineRule="exact"/>
        <w:ind w:firstLine="643" w:firstLineChars="200"/>
        <w:rPr>
          <w:rFonts w:ascii="Times New Roman" w:hAnsi="Times New Roman" w:eastAsia="方正仿宋简体" w:cs="Times New Roman"/>
          <w:b/>
          <w:bCs/>
          <w:color w:val="000000"/>
          <w:sz w:val="32"/>
          <w:szCs w:val="32"/>
        </w:rPr>
      </w:pPr>
      <w:r>
        <w:rPr>
          <w:rFonts w:ascii="Times New Roman" w:hAnsi="Times New Roman" w:eastAsia="方正黑体简体" w:cs="Times New Roman"/>
          <w:b/>
          <w:bCs/>
          <w:sz w:val="32"/>
          <w:szCs w:val="32"/>
        </w:rPr>
        <w:t>一、公司基本情况</w:t>
      </w:r>
    </w:p>
    <w:p>
      <w:pPr>
        <w:pStyle w:val="7"/>
        <w:tabs>
          <w:tab w:val="left" w:pos="1555"/>
        </w:tabs>
        <w:spacing w:line="600" w:lineRule="exact"/>
        <w:ind w:firstLine="643" w:firstLineChars="200"/>
        <w:rPr>
          <w:rFonts w:ascii="Times New Roman" w:hAnsi="Times New Roman" w:eastAsia="方正仿宋简体" w:cs="Times New Roman"/>
          <w:b/>
          <w:bCs/>
          <w:color w:val="000000"/>
          <w:sz w:val="32"/>
          <w:szCs w:val="32"/>
          <w:lang w:val="en-US" w:eastAsia="zh-CN"/>
        </w:rPr>
      </w:pPr>
      <w:r>
        <w:rPr>
          <w:rFonts w:hint="eastAsia" w:ascii="方正楷体简体" w:hAnsi="方正楷体简体" w:eastAsia="方正楷体简体" w:cs="方正楷体简体"/>
          <w:b/>
          <w:bCs/>
          <w:sz w:val="32"/>
          <w:szCs w:val="32"/>
          <w:lang w:val="en-US"/>
        </w:rPr>
        <w:t>（一）基本信息</w:t>
      </w:r>
    </w:p>
    <w:p>
      <w:pPr>
        <w:pStyle w:val="7"/>
        <w:tabs>
          <w:tab w:val="left" w:pos="1555"/>
        </w:tabs>
        <w:spacing w:line="560" w:lineRule="exact"/>
        <w:ind w:firstLine="643" w:firstLineChars="200"/>
        <w:rPr>
          <w:rFonts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公司名称：山东公用工程管理有限公司</w:t>
      </w:r>
    </w:p>
    <w:p>
      <w:pPr>
        <w:pStyle w:val="7"/>
        <w:tabs>
          <w:tab w:val="left" w:pos="1555"/>
        </w:tabs>
        <w:spacing w:line="560" w:lineRule="exact"/>
        <w:ind w:firstLine="643" w:firstLineChars="200"/>
        <w:rPr>
          <w:rFonts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类    型：有限责任公司(非自然人投资或控股的法人独资)</w:t>
      </w:r>
    </w:p>
    <w:p>
      <w:pPr>
        <w:pStyle w:val="7"/>
        <w:tabs>
          <w:tab w:val="left" w:pos="1555"/>
        </w:tabs>
        <w:spacing w:line="560" w:lineRule="exact"/>
        <w:ind w:firstLine="643" w:firstLineChars="200"/>
        <w:rPr>
          <w:rFonts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法定代表人：张羽</w:t>
      </w:r>
    </w:p>
    <w:p>
      <w:pPr>
        <w:pStyle w:val="7"/>
        <w:tabs>
          <w:tab w:val="left" w:pos="1555"/>
        </w:tabs>
        <w:spacing w:line="560" w:lineRule="exact"/>
        <w:ind w:firstLine="643" w:firstLineChars="200"/>
        <w:rPr>
          <w:rFonts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注册资金：伍佰万元整</w:t>
      </w:r>
    </w:p>
    <w:p>
      <w:pPr>
        <w:pStyle w:val="7"/>
        <w:tabs>
          <w:tab w:val="left" w:pos="1555"/>
        </w:tabs>
        <w:spacing w:line="560" w:lineRule="exact"/>
        <w:ind w:firstLine="643" w:firstLineChars="200"/>
        <w:rPr>
          <w:rFonts w:ascii="Times New Roman" w:hAnsi="Times New Roman" w:eastAsia="方正仿宋简体" w:cs="Times New Roman"/>
          <w:b/>
          <w:bCs/>
          <w:color w:val="000000"/>
          <w:sz w:val="32"/>
          <w:szCs w:val="32"/>
          <w:lang w:val="en-US" w:eastAsia="zh-CN"/>
        </w:rPr>
      </w:pPr>
      <w:r>
        <w:rPr>
          <w:rFonts w:ascii="Times New Roman" w:hAnsi="Times New Roman" w:eastAsia="方正仿宋简体" w:cs="Times New Roman"/>
          <w:b/>
          <w:bCs/>
          <w:color w:val="000000"/>
          <w:sz w:val="32"/>
          <w:szCs w:val="32"/>
          <w:lang w:val="en-US" w:eastAsia="zh-CN"/>
        </w:rPr>
        <w:t>注册地址：山东省济宁市任城区仙营街道共青团路14号健身广场综合楼12楼</w:t>
      </w:r>
    </w:p>
    <w:p>
      <w:pPr>
        <w:pStyle w:val="7"/>
        <w:tabs>
          <w:tab w:val="left" w:pos="1555"/>
        </w:tabs>
        <w:spacing w:line="600" w:lineRule="exact"/>
        <w:ind w:firstLine="643" w:firstLineChars="200"/>
        <w:rPr>
          <w:rFonts w:ascii="Times New Roman" w:hAnsi="Times New Roman" w:eastAsia="方正仿宋简体" w:cs="Times New Roman"/>
          <w:b/>
          <w:bCs/>
          <w:color w:val="000000"/>
          <w:sz w:val="32"/>
          <w:szCs w:val="32"/>
          <w:lang w:val="en-US" w:eastAsia="zh-CN"/>
        </w:rPr>
      </w:pPr>
      <w:r>
        <w:rPr>
          <w:rFonts w:ascii="Times New Roman" w:hAnsi="Times New Roman" w:eastAsia="方正仿宋简体" w:cs="Times New Roman"/>
          <w:b/>
          <w:bCs/>
          <w:color w:val="000000"/>
          <w:sz w:val="32"/>
          <w:szCs w:val="32"/>
          <w:lang w:val="en-US" w:eastAsia="zh-CN"/>
        </w:rPr>
        <w:t>经营范围：一般项目</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工程管理服务</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人工智能硬件销售</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工业设计服务</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市政经营范围设施管理</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装卸搬运</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园林绿化工程施工</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土石方工程施工</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工程和技术研究和试验发展</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劳务服务 (不含劳务派遣)</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 xml:space="preserve">信息咨询服务(不含许可类信息咨询服务) </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物业管理</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建筑材料销售</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电气设备销售</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企业管理咨询</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工程造价咨询业务</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招投标代理服务</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对外承包工程。(除依法须经批准的项目外，凭营业执照依法自主开展经营活动)</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许可项目</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建设工程设计</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建设工程施工</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住宅室内装饰装修</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建设工程勘察</w:t>
      </w:r>
      <w:r>
        <w:rPr>
          <w:rFonts w:hint="eastAsia" w:ascii="Times New Roman" w:hAnsi="Times New Roman" w:eastAsia="方正仿宋简体" w:cs="Times New Roman"/>
          <w:b/>
          <w:bCs/>
          <w:color w:val="000000"/>
          <w:sz w:val="32"/>
          <w:szCs w:val="32"/>
          <w:lang w:val="en-US" w:eastAsia="zh-CN"/>
        </w:rPr>
        <w:t>；</w:t>
      </w:r>
      <w:r>
        <w:rPr>
          <w:rFonts w:ascii="Times New Roman" w:hAnsi="Times New Roman" w:eastAsia="方正仿宋简体" w:cs="Times New Roman"/>
          <w:b/>
          <w:bCs/>
          <w:color w:val="000000"/>
          <w:sz w:val="32"/>
          <w:szCs w:val="32"/>
          <w:lang w:val="en-US" w:eastAsia="zh-CN"/>
        </w:rPr>
        <w:t>测绘服务。(依法须经批准的项目，经相关部门批准后方可开展经营活动，具体经营项目以相关部门批准文件或许可证件为</w:t>
      </w:r>
      <w:r>
        <w:rPr>
          <w:rFonts w:hint="eastAsia" w:ascii="Times New Roman" w:hAnsi="Times New Roman" w:eastAsia="方正仿宋简体" w:cs="Times New Roman"/>
          <w:b/>
          <w:bCs/>
          <w:color w:val="000000"/>
          <w:sz w:val="32"/>
          <w:szCs w:val="32"/>
          <w:lang w:val="en-US" w:eastAsia="zh-CN"/>
        </w:rPr>
        <w:t>准</w:t>
      </w:r>
      <w:r>
        <w:rPr>
          <w:rFonts w:ascii="Times New Roman" w:hAnsi="Times New Roman" w:eastAsia="方正仿宋简体" w:cs="Times New Roman"/>
          <w:b/>
          <w:bCs/>
          <w:color w:val="000000"/>
          <w:sz w:val="32"/>
          <w:szCs w:val="32"/>
          <w:lang w:val="en-US" w:eastAsia="zh-CN"/>
        </w:rPr>
        <w:t>)</w:t>
      </w:r>
      <w:r>
        <w:rPr>
          <w:rFonts w:hint="eastAsia" w:ascii="Times New Roman" w:hAnsi="Times New Roman" w:eastAsia="方正仿宋简体" w:cs="Times New Roman"/>
          <w:b/>
          <w:bCs/>
          <w:color w:val="000000"/>
          <w:sz w:val="32"/>
          <w:szCs w:val="32"/>
          <w:lang w:val="en-US" w:eastAsia="zh-CN"/>
        </w:rPr>
        <w:t>。</w:t>
      </w:r>
    </w:p>
    <w:p>
      <w:pPr>
        <w:pStyle w:val="7"/>
        <w:tabs>
          <w:tab w:val="left" w:pos="1555"/>
        </w:tabs>
        <w:spacing w:line="600" w:lineRule="exact"/>
        <w:ind w:firstLine="643" w:firstLineChars="200"/>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rPr>
        <w:t>（</w:t>
      </w:r>
      <w:r>
        <w:rPr>
          <w:rFonts w:hint="eastAsia" w:ascii="方正楷体简体" w:hAnsi="方正楷体简体" w:eastAsia="方正楷体简体" w:cs="方正楷体简体"/>
          <w:b/>
          <w:bCs/>
          <w:sz w:val="32"/>
          <w:szCs w:val="32"/>
          <w:lang w:val="en-US" w:eastAsia="zh-CN"/>
        </w:rPr>
        <w:t>二</w:t>
      </w:r>
      <w:r>
        <w:rPr>
          <w:rFonts w:hint="eastAsia" w:ascii="方正楷体简体" w:hAnsi="方正楷体简体" w:eastAsia="方正楷体简体" w:cs="方正楷体简体"/>
          <w:b/>
          <w:bCs/>
          <w:sz w:val="32"/>
          <w:szCs w:val="32"/>
          <w:lang w:val="en-US"/>
        </w:rPr>
        <w:t>）</w:t>
      </w:r>
      <w:r>
        <w:rPr>
          <w:rFonts w:hint="eastAsia" w:ascii="方正楷体简体" w:hAnsi="方正楷体简体" w:eastAsia="方正楷体简体" w:cs="方正楷体简体"/>
          <w:b/>
          <w:bCs/>
          <w:sz w:val="32"/>
          <w:szCs w:val="32"/>
          <w:lang w:val="en-US" w:eastAsia="zh-CN"/>
        </w:rPr>
        <w:t>公司简介</w:t>
      </w:r>
    </w:p>
    <w:p>
      <w:pPr>
        <w:spacing w:line="600" w:lineRule="exact"/>
        <w:ind w:firstLine="643" w:firstLineChars="200"/>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山东公用工程管理有限公司成立于2022年，注册资金500万元，由山东公用水利发展集团有限公司独自出资。公司2023年通过了ISO90001质量管理体系、ISO14001环境管理体系ISO45001职业健康安全管理体系认证，2024年公司通过了水利安全标准化达标三级单位。</w:t>
      </w:r>
    </w:p>
    <w:p>
      <w:pPr>
        <w:spacing w:line="600" w:lineRule="exact"/>
        <w:ind w:firstLine="643" w:firstLineChars="200"/>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公司主营业务为工程管理、运行管理服务、招标代理服务等。运行管理业务板块：现有运行管理项目济宁市城乡水务局济宁市南跃进沟提水站工程运行管理项目、济宁市城乡水务局南水北调截污导流蓄水区人工湿地水质净化工程日常运行管理项目，各项目运行良好，满足工程使用要求，发挥了工程效益。招标代理业务板块：具备专业的代理业务团队，熟悉政策与流程，可提供全流程招标服务，涵盖工程、物资等采购代理服务领域。</w:t>
      </w:r>
    </w:p>
    <w:p>
      <w:pPr>
        <w:spacing w:line="600" w:lineRule="exact"/>
        <w:ind w:firstLine="643" w:firstLineChars="200"/>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公司始终秉持公正诚信、专业高效的服务理念，坚持务实求真、诚信为本的服务精神，以回馈社会为己任，以服务客户为宗旨。诚以致信，践于施行。</w:t>
      </w:r>
    </w:p>
    <w:p>
      <w:pPr>
        <w:pStyle w:val="7"/>
        <w:numPr>
          <w:ilvl w:val="0"/>
          <w:numId w:val="1"/>
        </w:numPr>
        <w:spacing w:line="600" w:lineRule="exact"/>
        <w:ind w:firstLine="643" w:firstLineChars="200"/>
        <w:rPr>
          <w:rFonts w:ascii="Times New Roman" w:hAnsi="Times New Roman" w:eastAsia="方正黑体简体" w:cs="Times New Roman"/>
          <w:b/>
          <w:bCs/>
          <w:color w:val="000000"/>
          <w:sz w:val="32"/>
          <w:szCs w:val="32"/>
        </w:rPr>
      </w:pPr>
      <w:r>
        <w:rPr>
          <w:rFonts w:ascii="Times New Roman" w:hAnsi="Times New Roman" w:eastAsia="方正黑体简体" w:cs="Times New Roman"/>
          <w:b/>
          <w:bCs/>
          <w:color w:val="000000"/>
          <w:sz w:val="32"/>
          <w:szCs w:val="32"/>
        </w:rPr>
        <w:t>主要会计数据和财务指标</w:t>
      </w:r>
    </w:p>
    <w:p>
      <w:pPr>
        <w:pStyle w:val="7"/>
        <w:spacing w:line="600" w:lineRule="exact"/>
        <w:ind w:firstLine="643" w:firstLineChars="200"/>
        <w:jc w:val="center"/>
        <w:rPr>
          <w:rFonts w:ascii="Times New Roman" w:hAnsi="Times New Roman" w:eastAsia="方正黑体简体" w:cs="Times New Roman"/>
          <w:b/>
          <w:bCs/>
          <w:color w:val="000000"/>
          <w:sz w:val="32"/>
          <w:szCs w:val="32"/>
          <w:lang w:val="en-US" w:eastAsia="zh-CN"/>
        </w:rPr>
      </w:pPr>
      <w:r>
        <w:rPr>
          <w:rFonts w:hint="eastAsia" w:ascii="Times New Roman" w:hAnsi="Times New Roman" w:eastAsia="方正黑体简体" w:cs="Times New Roman"/>
          <w:b/>
          <w:bCs/>
          <w:color w:val="000000"/>
          <w:sz w:val="32"/>
          <w:szCs w:val="32"/>
          <w:lang w:val="en-US" w:eastAsia="zh-CN"/>
        </w:rPr>
        <w:t>2025年</w:t>
      </w:r>
      <w:r>
        <w:rPr>
          <w:rFonts w:hint="eastAsia" w:ascii="Times New Roman" w:hAnsi="Times New Roman" w:eastAsia="方正黑体简体" w:cs="Times New Roman"/>
          <w:b/>
          <w:bCs/>
          <w:color w:val="000000"/>
          <w:spacing w:val="0"/>
          <w:w w:val="100"/>
          <w:position w:val="0"/>
          <w:sz w:val="32"/>
          <w:szCs w:val="32"/>
          <w:lang w:val="en-US" w:eastAsia="zh-CN"/>
        </w:rPr>
        <w:t>前三季度</w:t>
      </w:r>
      <w:r>
        <w:rPr>
          <w:rFonts w:hint="eastAsia" w:ascii="Times New Roman" w:hAnsi="Times New Roman" w:eastAsia="方正黑体简体" w:cs="Times New Roman"/>
          <w:b/>
          <w:bCs/>
          <w:color w:val="000000"/>
          <w:sz w:val="32"/>
          <w:szCs w:val="32"/>
          <w:lang w:val="en-US" w:eastAsia="zh-CN"/>
        </w:rPr>
        <w:t>主要财务数据</w:t>
      </w:r>
    </w:p>
    <w:p>
      <w:pPr>
        <w:pStyle w:val="7"/>
        <w:spacing w:line="600" w:lineRule="exact"/>
        <w:ind w:left="420" w:leftChars="200" w:firstLine="0"/>
        <w:jc w:val="right"/>
        <w:rPr>
          <w:rFonts w:hint="eastAsia" w:ascii="方正楷体简体" w:hAnsi="方正楷体简体" w:eastAsia="方正楷体简体" w:cs="方正楷体简体"/>
          <w:b/>
          <w:bCs/>
          <w:color w:val="000000"/>
          <w:sz w:val="32"/>
          <w:szCs w:val="32"/>
        </w:rPr>
      </w:pPr>
      <w:r>
        <w:rPr>
          <w:rFonts w:hint="eastAsia" w:ascii="方正楷体简体" w:hAnsi="方正楷体简体" w:eastAsia="方正楷体简体" w:cs="方正楷体简体"/>
          <w:b/>
          <w:bCs/>
          <w:color w:val="000000"/>
          <w:kern w:val="0"/>
          <w:sz w:val="32"/>
          <w:szCs w:val="32"/>
          <w:lang w:val="en-US" w:eastAsia="zh-CN" w:bidi="ar"/>
        </w:rPr>
        <w:t>单位：人民币万元</w:t>
      </w:r>
    </w:p>
    <w:tbl>
      <w:tblPr>
        <w:tblStyle w:val="5"/>
        <w:tblW w:w="9340" w:type="dxa"/>
        <w:tblInd w:w="96" w:type="dxa"/>
        <w:tblLayout w:type="autofit"/>
        <w:tblCellMar>
          <w:top w:w="0" w:type="dxa"/>
          <w:left w:w="108" w:type="dxa"/>
          <w:bottom w:w="0" w:type="dxa"/>
          <w:right w:w="108" w:type="dxa"/>
        </w:tblCellMar>
      </w:tblPr>
      <w:tblGrid>
        <w:gridCol w:w="3528"/>
        <w:gridCol w:w="2906"/>
        <w:gridCol w:w="2906"/>
      </w:tblGrid>
      <w:tr>
        <w:tblPrEx>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本期金额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上</w:t>
            </w:r>
            <w:r>
              <w:rPr>
                <w:rFonts w:hint="eastAsia" w:ascii="Times New Roman" w:hAnsi="Times New Roman" w:eastAsia="方正仿宋简体" w:cs="Times New Roman"/>
                <w:b/>
                <w:bCs/>
                <w:color w:val="000000"/>
                <w:kern w:val="0"/>
                <w:sz w:val="32"/>
                <w:szCs w:val="32"/>
                <w:lang w:bidi="ar"/>
              </w:rPr>
              <w:t>年同期</w:t>
            </w:r>
            <w:r>
              <w:rPr>
                <w:rFonts w:ascii="Times New Roman" w:hAnsi="Times New Roman" w:eastAsia="方正仿宋简体" w:cs="Times New Roman"/>
                <w:b/>
                <w:bCs/>
                <w:color w:val="000000"/>
                <w:kern w:val="0"/>
                <w:sz w:val="32"/>
                <w:szCs w:val="32"/>
                <w:lang w:bidi="ar"/>
              </w:rPr>
              <w:t>金额</w:t>
            </w:r>
          </w:p>
        </w:tc>
      </w:tr>
      <w:tr>
        <w:tblPrEx>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营业总收入</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169</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141</w:t>
            </w:r>
          </w:p>
        </w:tc>
      </w:tr>
      <w:tr>
        <w:tblPrEx>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营业总成本</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147</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84</w:t>
            </w:r>
          </w:p>
        </w:tc>
      </w:tr>
      <w:tr>
        <w:tblPrEx>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kern w:val="0"/>
                <w:sz w:val="32"/>
                <w:szCs w:val="32"/>
                <w:lang w:bidi="ar"/>
              </w:rPr>
            </w:pPr>
            <w:r>
              <w:rPr>
                <w:rFonts w:hint="eastAsia" w:ascii="Times New Roman" w:hAnsi="Times New Roman" w:eastAsia="方正仿宋简体" w:cs="Times New Roman"/>
                <w:b/>
                <w:bCs/>
                <w:color w:val="000000"/>
                <w:kern w:val="0"/>
                <w:sz w:val="32"/>
                <w:szCs w:val="32"/>
                <w:lang w:bidi="ar"/>
              </w:rPr>
              <w:t>利润总额</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22</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57</w:t>
            </w:r>
          </w:p>
        </w:tc>
      </w:tr>
      <w:tr>
        <w:tblPrEx>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资产总额</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480</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153</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kern w:val="0"/>
                <w:sz w:val="32"/>
                <w:szCs w:val="32"/>
                <w:lang w:bidi="ar"/>
              </w:rPr>
            </w:pPr>
            <w:r>
              <w:rPr>
                <w:rFonts w:hint="eastAsia" w:ascii="Times New Roman" w:hAnsi="Times New Roman" w:eastAsia="方正仿宋简体" w:cs="Times New Roman"/>
                <w:b/>
                <w:bCs/>
                <w:color w:val="000000"/>
                <w:kern w:val="0"/>
                <w:sz w:val="32"/>
                <w:szCs w:val="32"/>
                <w:lang w:bidi="ar"/>
              </w:rPr>
              <w:t>负债总额</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12</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2</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kern w:val="0"/>
                <w:sz w:val="32"/>
                <w:szCs w:val="32"/>
                <w:lang w:bidi="ar"/>
              </w:rPr>
              <w:t>所有者权益</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468</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方正仿宋简体" w:cs="Times New Roman"/>
                <w:b/>
                <w:bCs/>
                <w:color w:val="000000"/>
                <w:sz w:val="32"/>
                <w:szCs w:val="32"/>
                <w:lang w:val="en-US" w:eastAsia="zh-CN"/>
              </w:rPr>
            </w:pPr>
            <w:r>
              <w:rPr>
                <w:rFonts w:hint="eastAsia" w:ascii="Times New Roman" w:hAnsi="Times New Roman" w:eastAsia="方正仿宋简体" w:cs="Times New Roman"/>
                <w:b/>
                <w:bCs/>
                <w:color w:val="000000"/>
                <w:sz w:val="32"/>
                <w:szCs w:val="32"/>
                <w:lang w:val="en-US" w:eastAsia="zh-CN"/>
              </w:rPr>
              <w:t>151</w:t>
            </w:r>
          </w:p>
        </w:tc>
      </w:tr>
    </w:tbl>
    <w:p>
      <w:pPr>
        <w:pStyle w:val="7"/>
        <w:numPr>
          <w:ilvl w:val="0"/>
          <w:numId w:val="1"/>
        </w:numPr>
        <w:tabs>
          <w:tab w:val="left" w:pos="1617"/>
        </w:tabs>
        <w:spacing w:line="600" w:lineRule="exact"/>
        <w:ind w:firstLine="643" w:firstLineChars="200"/>
        <w:rPr>
          <w:rFonts w:ascii="Times New Roman" w:hAnsi="Times New Roman" w:eastAsia="方正黑体简体" w:cs="Times New Roman"/>
          <w:b/>
          <w:bCs/>
          <w:color w:val="000000"/>
          <w:sz w:val="32"/>
          <w:szCs w:val="32"/>
        </w:rPr>
      </w:pPr>
      <w:r>
        <w:rPr>
          <w:rFonts w:ascii="Times New Roman" w:hAnsi="Times New Roman" w:eastAsia="方正黑体简体" w:cs="Times New Roman"/>
          <w:b/>
          <w:bCs/>
          <w:color w:val="000000"/>
          <w:sz w:val="32"/>
          <w:szCs w:val="32"/>
        </w:rPr>
        <w:t>财务预算执行情况</w:t>
      </w:r>
    </w:p>
    <w:p>
      <w:pPr>
        <w:ind w:firstLine="643" w:firstLineChars="200"/>
        <w:rPr>
          <w:rFonts w:ascii="Times New Roman" w:hAnsi="Times New Roman" w:eastAsia="方正黑体简体" w:cs="Times New Roman"/>
          <w:b/>
          <w:bCs/>
          <w:color w:val="000000"/>
          <w:sz w:val="32"/>
          <w:szCs w:val="32"/>
        </w:rPr>
      </w:pPr>
      <w:r>
        <w:rPr>
          <w:rFonts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rPr>
        <w:t>5</w:t>
      </w:r>
      <w:r>
        <w:rPr>
          <w:rFonts w:ascii="Times New Roman" w:hAnsi="Times New Roman" w:eastAsia="方正仿宋简体" w:cs="Times New Roman"/>
          <w:b/>
          <w:bCs/>
          <w:sz w:val="32"/>
          <w:szCs w:val="32"/>
        </w:rPr>
        <w:t>年</w:t>
      </w:r>
      <w:r>
        <w:rPr>
          <w:rFonts w:hint="eastAsia" w:ascii="Times New Roman" w:hAnsi="Times New Roman" w:eastAsia="方正仿宋简体" w:cs="Times New Roman"/>
          <w:b/>
          <w:bCs/>
          <w:color w:val="auto"/>
          <w:spacing w:val="0"/>
          <w:w w:val="100"/>
          <w:position w:val="0"/>
          <w:sz w:val="32"/>
          <w:szCs w:val="32"/>
          <w:lang w:val="en-US" w:eastAsia="zh-CN"/>
        </w:rPr>
        <w:t>前三季度</w:t>
      </w:r>
      <w:r>
        <w:rPr>
          <w:rFonts w:hint="eastAsia" w:ascii="Times New Roman" w:hAnsi="Times New Roman" w:eastAsia="方正仿宋简体" w:cs="Times New Roman"/>
          <w:b/>
          <w:bCs/>
          <w:color w:val="000000"/>
          <w:sz w:val="32"/>
          <w:szCs w:val="32"/>
          <w:lang w:bidi="zh-TW"/>
        </w:rPr>
        <w:t>，公司实现营业总收入</w:t>
      </w:r>
      <w:r>
        <w:rPr>
          <w:rFonts w:hint="eastAsia" w:ascii="Times New Roman" w:hAnsi="Times New Roman" w:eastAsia="方正仿宋简体" w:cs="Times New Roman"/>
          <w:b/>
          <w:bCs/>
          <w:color w:val="000000"/>
          <w:sz w:val="32"/>
          <w:szCs w:val="32"/>
          <w:lang w:val="en-US" w:eastAsia="zh-CN" w:bidi="zh-TW"/>
        </w:rPr>
        <w:t>169</w:t>
      </w:r>
      <w:r>
        <w:rPr>
          <w:rFonts w:hint="eastAsia" w:ascii="Times New Roman" w:hAnsi="Times New Roman" w:eastAsia="方正仿宋简体" w:cs="Times New Roman"/>
          <w:b/>
          <w:bCs/>
          <w:color w:val="000000"/>
          <w:sz w:val="32"/>
          <w:szCs w:val="32"/>
          <w:lang w:bidi="zh-TW"/>
        </w:rPr>
        <w:t>万元，完成年度预算的</w:t>
      </w:r>
      <w:r>
        <w:rPr>
          <w:rFonts w:hint="eastAsia" w:ascii="Times New Roman" w:hAnsi="Times New Roman" w:eastAsia="方正仿宋简体" w:cs="Times New Roman"/>
          <w:b/>
          <w:bCs/>
          <w:color w:val="000000"/>
          <w:sz w:val="32"/>
          <w:szCs w:val="32"/>
          <w:lang w:val="en-US" w:eastAsia="zh-CN" w:bidi="zh-TW"/>
        </w:rPr>
        <w:t>88.95</w:t>
      </w:r>
      <w:r>
        <w:rPr>
          <w:rFonts w:hint="eastAsia" w:ascii="Times New Roman" w:hAnsi="Times New Roman" w:eastAsia="方正仿宋简体" w:cs="Times New Roman"/>
          <w:b/>
          <w:bCs/>
          <w:color w:val="000000"/>
          <w:sz w:val="32"/>
          <w:szCs w:val="32"/>
          <w:lang w:bidi="zh-TW"/>
        </w:rPr>
        <w:t>%；实现利润总额</w:t>
      </w:r>
      <w:r>
        <w:rPr>
          <w:rFonts w:hint="eastAsia" w:ascii="Times New Roman" w:hAnsi="Times New Roman" w:eastAsia="方正仿宋简体" w:cs="Times New Roman"/>
          <w:b/>
          <w:bCs/>
          <w:color w:val="000000"/>
          <w:sz w:val="32"/>
          <w:szCs w:val="32"/>
          <w:lang w:val="en-US" w:eastAsia="zh-CN" w:bidi="zh-TW"/>
        </w:rPr>
        <w:t>22</w:t>
      </w:r>
      <w:r>
        <w:rPr>
          <w:rFonts w:hint="eastAsia" w:ascii="Times New Roman" w:hAnsi="Times New Roman" w:eastAsia="方正仿宋简体" w:cs="Times New Roman"/>
          <w:b/>
          <w:bCs/>
          <w:color w:val="000000"/>
          <w:sz w:val="32"/>
          <w:szCs w:val="32"/>
          <w:lang w:bidi="zh-TW"/>
        </w:rPr>
        <w:t>万元，完成年度预算的</w:t>
      </w:r>
      <w:r>
        <w:rPr>
          <w:rFonts w:hint="eastAsia" w:ascii="Times New Roman" w:hAnsi="Times New Roman" w:eastAsia="方正仿宋简体" w:cs="Times New Roman"/>
          <w:b/>
          <w:bCs/>
          <w:color w:val="000000"/>
          <w:sz w:val="32"/>
          <w:szCs w:val="32"/>
          <w:lang w:val="en-US" w:eastAsia="zh-CN" w:bidi="zh-TW"/>
        </w:rPr>
        <w:t>36.67</w:t>
      </w:r>
      <w:r>
        <w:rPr>
          <w:rFonts w:hint="eastAsia" w:ascii="Times New Roman" w:hAnsi="Times New Roman" w:eastAsia="方正仿宋简体" w:cs="Times New Roman"/>
          <w:b/>
          <w:bCs/>
          <w:color w:val="000000"/>
          <w:sz w:val="32"/>
          <w:szCs w:val="32"/>
          <w:lang w:bidi="zh-TW"/>
        </w:rPr>
        <w:t>%；实现净利润</w:t>
      </w:r>
      <w:r>
        <w:rPr>
          <w:rFonts w:hint="eastAsia" w:ascii="Times New Roman" w:hAnsi="Times New Roman" w:eastAsia="方正仿宋简体" w:cs="Times New Roman"/>
          <w:b/>
          <w:bCs/>
          <w:color w:val="000000"/>
          <w:sz w:val="32"/>
          <w:szCs w:val="32"/>
          <w:lang w:val="en-US" w:eastAsia="zh-CN" w:bidi="zh-TW"/>
        </w:rPr>
        <w:t>20</w:t>
      </w:r>
      <w:r>
        <w:rPr>
          <w:rFonts w:hint="eastAsia" w:ascii="Times New Roman" w:hAnsi="Times New Roman" w:eastAsia="方正仿宋简体" w:cs="Times New Roman"/>
          <w:b/>
          <w:bCs/>
          <w:color w:val="000000"/>
          <w:sz w:val="32"/>
          <w:szCs w:val="32"/>
          <w:lang w:bidi="zh-TW"/>
        </w:rPr>
        <w:t>万元，完成年度预算的</w:t>
      </w:r>
      <w:r>
        <w:rPr>
          <w:rFonts w:hint="eastAsia" w:ascii="Times New Roman" w:hAnsi="Times New Roman" w:eastAsia="方正仿宋简体" w:cs="Times New Roman"/>
          <w:b/>
          <w:bCs/>
          <w:color w:val="000000"/>
          <w:sz w:val="32"/>
          <w:szCs w:val="32"/>
          <w:lang w:val="en-US" w:eastAsia="zh-CN" w:bidi="zh-TW"/>
        </w:rPr>
        <w:t>35.09</w:t>
      </w:r>
      <w:r>
        <w:rPr>
          <w:rFonts w:hint="eastAsia" w:ascii="Times New Roman" w:hAnsi="Times New Roman" w:eastAsia="方正仿宋简体" w:cs="Times New Roman"/>
          <w:b/>
          <w:bCs/>
          <w:color w:val="000000"/>
          <w:sz w:val="32"/>
          <w:szCs w:val="32"/>
          <w:lang w:bidi="zh-TW"/>
        </w:rPr>
        <w:t>%。</w:t>
      </w:r>
    </w:p>
    <w:p>
      <w:pPr>
        <w:pStyle w:val="7"/>
        <w:tabs>
          <w:tab w:val="left" w:pos="1624"/>
        </w:tabs>
        <w:spacing w:line="600" w:lineRule="exact"/>
        <w:ind w:firstLine="643"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color w:val="000000"/>
          <w:sz w:val="32"/>
          <w:szCs w:val="32"/>
          <w:lang w:val="en-US" w:eastAsia="zh-CN"/>
        </w:rPr>
        <w:t>四、</w:t>
      </w:r>
      <w:r>
        <w:rPr>
          <w:rFonts w:hint="eastAsia" w:ascii="Times New Roman" w:hAnsi="Times New Roman" w:eastAsia="方正黑体简体" w:cs="Times New Roman"/>
          <w:b/>
          <w:bCs/>
          <w:color w:val="000000"/>
          <w:spacing w:val="0"/>
          <w:w w:val="100"/>
          <w:position w:val="0"/>
          <w:sz w:val="32"/>
          <w:szCs w:val="32"/>
          <w:lang w:val="en-US" w:eastAsia="zh-CN"/>
        </w:rPr>
        <w:t>本季度</w:t>
      </w:r>
      <w:r>
        <w:rPr>
          <w:rFonts w:ascii="Times New Roman" w:hAnsi="Times New Roman" w:eastAsia="方正黑体简体" w:cs="Times New Roman"/>
          <w:b/>
          <w:bCs/>
          <w:color w:val="000000"/>
          <w:sz w:val="32"/>
          <w:szCs w:val="32"/>
        </w:rPr>
        <w:t>内发生的重大事项及对公司的影响</w:t>
      </w:r>
    </w:p>
    <w:p>
      <w:pPr>
        <w:pStyle w:val="7"/>
        <w:spacing w:line="600" w:lineRule="exact"/>
        <w:ind w:firstLine="643" w:firstLineChars="200"/>
        <w:rPr>
          <w:rFonts w:ascii="Times New Roman" w:hAnsi="Times New Roman" w:eastAsia="方正仿宋简体" w:cs="Times New Roman"/>
          <w:b/>
          <w:bCs/>
          <w:sz w:val="32"/>
          <w:szCs w:val="32"/>
          <w:lang w:val="en-US" w:eastAsia="zh-CN"/>
        </w:rPr>
      </w:pPr>
      <w:r>
        <w:rPr>
          <w:rFonts w:ascii="Times New Roman" w:hAnsi="Times New Roman" w:eastAsia="方正仿宋简体" w:cs="Times New Roman"/>
          <w:b/>
          <w:bCs/>
          <w:color w:val="000000"/>
          <w:sz w:val="32"/>
          <w:szCs w:val="32"/>
          <w:lang w:val="en-US" w:eastAsia="zh-CN"/>
        </w:rPr>
        <w:t>无</w:t>
      </w:r>
      <w:r>
        <w:rPr>
          <w:rFonts w:hint="eastAsia" w:ascii="Times New Roman" w:hAnsi="Times New Roman" w:eastAsia="方正仿宋简体" w:cs="Times New Roman"/>
          <w:b/>
          <w:bCs/>
          <w:color w:val="000000"/>
          <w:sz w:val="32"/>
          <w:szCs w:val="32"/>
          <w:lang w:val="en-US" w:eastAsia="zh-CN"/>
        </w:rPr>
        <w:t>。</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9C010803-92B6-4A5B-BB4F-128D4990BE96}"/>
  </w:font>
  <w:font w:name="方正仿宋简体">
    <w:panose1 w:val="02000000000000000000"/>
    <w:charset w:val="86"/>
    <w:family w:val="auto"/>
    <w:pitch w:val="default"/>
    <w:sig w:usb0="A00002BF" w:usb1="184F6CFA" w:usb2="00000012" w:usb3="00000000" w:csb0="00040001" w:csb1="00000000"/>
    <w:embedRegular r:id="rId2" w:fontKey="{5D111F77-A8BB-46C5-AFAC-1B0DBFC604CB}"/>
  </w:font>
  <w:font w:name="方正黑体简体">
    <w:panose1 w:val="02000000000000000000"/>
    <w:charset w:val="86"/>
    <w:family w:val="script"/>
    <w:pitch w:val="default"/>
    <w:sig w:usb0="A00002BF" w:usb1="184F6CFA" w:usb2="00000012" w:usb3="00000000" w:csb0="00040001" w:csb1="00000000"/>
    <w:embedRegular r:id="rId3" w:fontKey="{8C70AD2E-2F65-476B-9250-138587565575}"/>
  </w:font>
  <w:font w:name="方正楷体简体">
    <w:panose1 w:val="02000000000000000000"/>
    <w:charset w:val="86"/>
    <w:family w:val="script"/>
    <w:pitch w:val="default"/>
    <w:sig w:usb0="A00002BF" w:usb1="184F6CFA" w:usb2="00000012" w:usb3="00000000" w:csb0="00040001" w:csb1="00000000"/>
    <w:embedRegular r:id="rId4" w:fontKey="{9502641F-EC5F-4C87-AF4A-36BF487984A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D7BCE"/>
    <w:multiLevelType w:val="singleLevel"/>
    <w:tmpl w:val="F4BD7B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NTlkMmJlMmUxZDUwYzA1MDA0NzA2NGFhN2RiMWUifQ=="/>
  </w:docVars>
  <w:rsids>
    <w:rsidRoot w:val="009E6018"/>
    <w:rsid w:val="00636234"/>
    <w:rsid w:val="007A0A19"/>
    <w:rsid w:val="00902C4D"/>
    <w:rsid w:val="00960121"/>
    <w:rsid w:val="009E6018"/>
    <w:rsid w:val="00B62303"/>
    <w:rsid w:val="00C34DDD"/>
    <w:rsid w:val="00C57389"/>
    <w:rsid w:val="04A844E4"/>
    <w:rsid w:val="04D728EB"/>
    <w:rsid w:val="09A837AF"/>
    <w:rsid w:val="0BAF67CA"/>
    <w:rsid w:val="0C4C3092"/>
    <w:rsid w:val="138349D3"/>
    <w:rsid w:val="13ED2E3E"/>
    <w:rsid w:val="1FB93FAB"/>
    <w:rsid w:val="25587FAA"/>
    <w:rsid w:val="28AA222B"/>
    <w:rsid w:val="2A7464BE"/>
    <w:rsid w:val="2B14500B"/>
    <w:rsid w:val="32410856"/>
    <w:rsid w:val="32CD3CD6"/>
    <w:rsid w:val="33466F1E"/>
    <w:rsid w:val="337A4B1E"/>
    <w:rsid w:val="33807440"/>
    <w:rsid w:val="3A5B2E96"/>
    <w:rsid w:val="3AE50490"/>
    <w:rsid w:val="48C43A90"/>
    <w:rsid w:val="4A1930D0"/>
    <w:rsid w:val="4AD65741"/>
    <w:rsid w:val="54C87B33"/>
    <w:rsid w:val="54CC5B55"/>
    <w:rsid w:val="5C333535"/>
    <w:rsid w:val="5F6E7C48"/>
    <w:rsid w:val="64AE3C76"/>
    <w:rsid w:val="64D11F7B"/>
    <w:rsid w:val="66E14363"/>
    <w:rsid w:val="695F606D"/>
    <w:rsid w:val="6B756129"/>
    <w:rsid w:val="70B01A0F"/>
    <w:rsid w:val="71EB6DC6"/>
    <w:rsid w:val="73604108"/>
    <w:rsid w:val="7CC6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Title"/>
    <w:basedOn w:val="1"/>
    <w:next w:val="1"/>
    <w:qFormat/>
    <w:uiPriority w:val="0"/>
    <w:pPr>
      <w:keepLines/>
      <w:pageBreakBefore/>
      <w:spacing w:before="240" w:after="120"/>
      <w:jc w:val="center"/>
      <w:outlineLvl w:val="0"/>
    </w:pPr>
    <w:rPr>
      <w:rFonts w:eastAsia="黑体"/>
      <w:b/>
      <w:sz w:val="36"/>
    </w:rPr>
  </w:style>
  <w:style w:type="paragraph" w:customStyle="1" w:styleId="7">
    <w:name w:val="Body text|1"/>
    <w:basedOn w:val="1"/>
    <w:qFormat/>
    <w:uiPriority w:val="0"/>
    <w:pPr>
      <w:spacing w:line="420" w:lineRule="auto"/>
      <w:ind w:firstLine="400"/>
    </w:pPr>
    <w:rPr>
      <w:rFonts w:ascii="宋体" w:hAnsi="宋体" w:eastAsia="宋体" w:cs="宋体"/>
      <w:sz w:val="30"/>
      <w:szCs w:val="30"/>
      <w:lang w:val="zh-TW" w:eastAsia="zh-TW" w:bidi="zh-TW"/>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964</Words>
  <Characters>1044</Characters>
  <Lines>37</Lines>
  <Paragraphs>43</Paragraphs>
  <TotalTime>11</TotalTime>
  <ScaleCrop>false</ScaleCrop>
  <LinksUpToDate>false</LinksUpToDate>
  <CharactersWithSpaces>1050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2023-08-24T04:08:00Z</dcterms:created>
  <dc:creator>联想电脑</dc:creator>
  <cp:lastModifiedBy>张娜</cp:lastModifiedBy>
  <cp:lastPrinted>2024-04-23T09:41:00Z</cp:lastPrinted>
  <dcterms:modified xsi:type="dcterms:W3CDTF">2025-11-01T07:21:41Z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873CC54B60D64D51815184F36CC0E451_13</vt:lpwstr>
  </property>
  <property fmtid="{D5CDD505-2E9C-101B-9397-08002B2CF9AE}" pid="4" name="KSOTemplateDocerSaveRecord">
    <vt:lpwstr>eyJoZGlkIjoiZDIwNGZjZDY1ZWNjMzRkNzJiYTU4MWVhZjZkNDI2ZTkiLCJ1c2VySWQiOiIxMTAxNTA1Njk1In0=</vt:lpwstr>
  </property>
</Properties>
</file>