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山东公用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水污染治理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有限公司</w:t>
      </w:r>
      <w:bookmarkEnd w:id="0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 xml:space="preserve"> </w:t>
      </w:r>
    </w:p>
    <w:p>
      <w:pPr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2025年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  <w:t>财务等重大信息公开</w:t>
      </w:r>
    </w:p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</w:rPr>
        <w:t>1.名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</w:rPr>
        <w:t>称：山东公用水污染治理有限公司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企业类型：有限责任公司（国有控股）</w:t>
      </w:r>
    </w:p>
    <w:p>
      <w:pPr>
        <w:pStyle w:val="2"/>
        <w:ind w:firstLine="64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3.成立日期：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2020年5月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8日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ab/>
      </w:r>
    </w:p>
    <w:p>
      <w:pPr>
        <w:pStyle w:val="2"/>
        <w:ind w:firstLine="64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法定代表人：白树雷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注册地址：山东省济宁市任城区古槐街道红星中路23号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.经营范围：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许可项目：污水处理及其再生利用；建设工程设计；建设工程施工。（依法须经批准的项目，经相关部门批准后方可开展经营活动，具体经营项目以相关部门批准文件或许可证件为准）</w:t>
      </w:r>
    </w:p>
    <w:p>
      <w:pPr>
        <w:snapToGrid w:val="0"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一般项目：水污染治理；水环境污染防治服务；市政设施管理；技术服务、技术开发、技术咨询、技术交流、技术转让、技术推广；环境保护专用设备制造；环境保护专用设备销售；自然生态系统保护管理；环境应急治理服务；生态恢复及生态保护服务；环境保护监测；大气污染治理；地质灾害治理服务；工程管理服务；园林绿化工程施工。（除依法须经批准的项目外，凭营业执照依法自主开展经营活动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0" w:firstLineChars="196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山东公用水污染治理有限公司（以下简称“公司”）是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山东公用控股有限公司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控股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子公司。公司成立于2020年5月，注册资金7.1亿元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，是以水污染治理及管理运营为主的国有企业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</w:t>
      </w:r>
      <w:r>
        <w:rPr>
          <w:rFonts w:hint="eastAsia" w:ascii="方正黑体简体" w:hAnsi="方正黑体简体" w:eastAsia="方正黑体简体" w:cs="方正黑体简体"/>
          <w:b/>
          <w:bCs/>
          <w:highlight w:val="none"/>
          <w:lang w:val="en-US"/>
        </w:rPr>
        <w:t>财务指标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highlight w:val="none"/>
          <w:lang w:val="en-US"/>
        </w:rPr>
        <w:t>（截至到2025年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highlight w:val="none"/>
          <w:lang w:val="en-US"/>
        </w:rPr>
        <w:t>月30日）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 w:val="0"/>
          <w:bCs w:val="0"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184" w:firstLineChars="22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28"/>
          <w:szCs w:val="28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  <w:highlight w:val="none"/>
          <w:lang w:val="en-US"/>
        </w:rPr>
        <w:t>单位：人民币</w:t>
      </w: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  <w:highlight w:val="none"/>
          <w:lang w:val="en-US"/>
        </w:rPr>
        <w:t>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3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8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23108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474138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393420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80718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第三季度，山东公用水污染治理有限公司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实现营业总收入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23108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73.90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%；实现利润总额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696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75.16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四、季度内重大事项及对企业的影响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ED487255-F338-4B48-A080-A8253BBBEF3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AE0D4A-0F4C-49B9-9E80-C6FB38B8609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56698E-75BD-4FE3-8C98-59BD9BC94DF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7A72B98-72D9-4A1C-9FF4-CFA20C7FE8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NzhlNjk5YjFhMGYxMGQ3ZmI1NmM1YzEyMWY2MzM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3603F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70D3492"/>
    <w:rsid w:val="08A84F82"/>
    <w:rsid w:val="0BAA1044"/>
    <w:rsid w:val="0C1300BA"/>
    <w:rsid w:val="118F66DA"/>
    <w:rsid w:val="11D529E3"/>
    <w:rsid w:val="13B62550"/>
    <w:rsid w:val="14D830A2"/>
    <w:rsid w:val="17303DFB"/>
    <w:rsid w:val="19B8515E"/>
    <w:rsid w:val="1E4C79CA"/>
    <w:rsid w:val="208262A6"/>
    <w:rsid w:val="21EB1A9A"/>
    <w:rsid w:val="23E90EC3"/>
    <w:rsid w:val="24A645D7"/>
    <w:rsid w:val="2A97706A"/>
    <w:rsid w:val="2E9539DE"/>
    <w:rsid w:val="31117233"/>
    <w:rsid w:val="32DA0AFB"/>
    <w:rsid w:val="33A7369E"/>
    <w:rsid w:val="34833A65"/>
    <w:rsid w:val="359C4116"/>
    <w:rsid w:val="365668DF"/>
    <w:rsid w:val="37A64333"/>
    <w:rsid w:val="3ADE08F5"/>
    <w:rsid w:val="3B0764C2"/>
    <w:rsid w:val="3D9E70CD"/>
    <w:rsid w:val="3EB218E1"/>
    <w:rsid w:val="406242B1"/>
    <w:rsid w:val="40BD03D8"/>
    <w:rsid w:val="46625A9C"/>
    <w:rsid w:val="46FF778E"/>
    <w:rsid w:val="475A5D99"/>
    <w:rsid w:val="485A1E43"/>
    <w:rsid w:val="4A500394"/>
    <w:rsid w:val="4BFD3BF7"/>
    <w:rsid w:val="4D663EEA"/>
    <w:rsid w:val="4F322D35"/>
    <w:rsid w:val="5AD774AA"/>
    <w:rsid w:val="5D195C77"/>
    <w:rsid w:val="5D9A4243"/>
    <w:rsid w:val="5E5E5DDC"/>
    <w:rsid w:val="61352735"/>
    <w:rsid w:val="619E1E27"/>
    <w:rsid w:val="64CE0CD9"/>
    <w:rsid w:val="663C74B6"/>
    <w:rsid w:val="67C52FC9"/>
    <w:rsid w:val="69653029"/>
    <w:rsid w:val="6C762E7E"/>
    <w:rsid w:val="6D316FBD"/>
    <w:rsid w:val="6D350F65"/>
    <w:rsid w:val="6DF32616"/>
    <w:rsid w:val="6F4A2487"/>
    <w:rsid w:val="73A033E2"/>
    <w:rsid w:val="73FE1D6C"/>
    <w:rsid w:val="754161CD"/>
    <w:rsid w:val="76323B4E"/>
    <w:rsid w:val="767913F5"/>
    <w:rsid w:val="780F4821"/>
    <w:rsid w:val="7902085F"/>
    <w:rsid w:val="7D034BDB"/>
    <w:rsid w:val="7DD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718</Characters>
  <Lines>11</Lines>
  <Paragraphs>3</Paragraphs>
  <TotalTime>3</TotalTime>
  <ScaleCrop>false</ScaleCrop>
  <LinksUpToDate>false</LinksUpToDate>
  <CharactersWithSpaces>728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2025-11-01T07:39:23Z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77F46F024E5949A884C01DA8E85E3740_13</vt:lpwstr>
  </property>
  <property fmtid="{D5CDD505-2E9C-101B-9397-08002B2CF9AE}" pid="4" name="KSOTemplateDocerSaveRecord">
    <vt:lpwstr>eyJoZGlkIjoiZWU0NzhlNjk5YjFhMGYxMGQ3ZmI1NmM1YzEyMWY2MzMiLCJ1c2VySWQiOiIxMzIyNDg2NzIxIn0=</vt:lpwstr>
  </property>
</Properties>
</file>