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山东公用热电集团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有限公司</w:t>
      </w:r>
    </w:p>
    <w:p>
      <w:pPr>
        <w:pStyle w:val="2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三季度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lang w:val="en-US"/>
        </w:rPr>
        <w:t>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/>
        </w:rPr>
        <w:t>开</w:t>
      </w:r>
    </w:p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>
      <w:pPr>
        <w:pStyle w:val="2"/>
        <w:numPr>
          <w:ilvl w:val="0"/>
          <w:numId w:val="0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 w:eastAsia="zh-CN" w:bidi="zh-CN"/>
        </w:rPr>
        <w:t>一、</w:t>
      </w: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>
      <w:pPr>
        <w:pStyle w:val="2"/>
        <w:spacing w:line="580" w:lineRule="exact"/>
        <w:ind w:firstLine="643" w:firstLineChars="200"/>
        <w:jc w:val="both"/>
        <w:rPr>
          <w:rFonts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山东公用热电集团有限公司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 xml:space="preserve"> 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有限责任公司</w:t>
      </w:r>
    </w:p>
    <w:p>
      <w:pPr>
        <w:pStyle w:val="2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2019年8月21日</w:t>
      </w:r>
    </w:p>
    <w:p>
      <w:pPr>
        <w:pStyle w:val="2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：杨勇</w:t>
      </w:r>
    </w:p>
    <w:p>
      <w:pPr>
        <w:pStyle w:val="2"/>
        <w:spacing w:line="580" w:lineRule="exact"/>
        <w:ind w:firstLine="643" w:firstLineChars="200"/>
        <w:jc w:val="both"/>
        <w:rPr>
          <w:rFonts w:hint="default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山东省济宁市任城区红星东路23号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：热力生产和供应；电力生产和供应；热电联产集中供热；供热工程设计及安装维修；售电服务；太阳能、风能、地热能、冰（水）蓄能、生物质能、分布式能源等新能源利用系统的设计、建设、运营、管理及维护等；合同能源管理；绿色建筑、新能源、新节能技术咨询、服务。（依法须经批准的项目，经相关部门批准后方可开展经营活动）</w:t>
      </w:r>
    </w:p>
    <w:p>
      <w:pPr>
        <w:pStyle w:val="2"/>
        <w:spacing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>
      <w:pPr>
        <w:tabs>
          <w:tab w:val="left" w:pos="666"/>
        </w:tabs>
        <w:spacing w:line="500" w:lineRule="exact"/>
        <w:ind w:firstLine="630" w:firstLineChars="196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 w:bidi="zh-CN"/>
        </w:rPr>
        <w:t>山东公用热电集团有限公司成立于2019年8月，隶属于山东公用控股有限公司，注册资本金5亿元人民币，是集热电联产、城市供热运营服务、新能源开发利用于一体的综合性国有企业。</w:t>
      </w:r>
    </w:p>
    <w:p>
      <w:pPr>
        <w:pStyle w:val="2"/>
        <w:numPr>
          <w:ilvl w:val="0"/>
          <w:numId w:val="0"/>
        </w:numPr>
        <w:spacing w:line="580" w:lineRule="exact"/>
        <w:ind w:firstLine="643" w:firstLineChars="200"/>
        <w:jc w:val="both"/>
        <w:rPr>
          <w:rFonts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 w:eastAsia="zh-CN" w:bidi="zh-CN"/>
        </w:rPr>
        <w:t>二、</w:t>
      </w: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主要会计数据和财务指标</w:t>
      </w:r>
    </w:p>
    <w:p>
      <w:pPr>
        <w:pStyle w:val="2"/>
        <w:spacing w:line="580" w:lineRule="exact"/>
        <w:jc w:val="center"/>
        <w:rPr>
          <w:rFonts w:ascii="方正黑体简体" w:hAnsi="方正黑体简体" w:eastAsia="方正黑体简体" w:cs="方正黑体简体"/>
          <w:b/>
          <w:bCs/>
          <w:highlight w:val="none"/>
          <w:lang w:val="en-US"/>
        </w:rPr>
      </w:pP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5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highlight w:val="none"/>
          <w:lang w:val="en-US" w:eastAsia="zh-CN"/>
        </w:rPr>
        <w:t>三季度</w:t>
      </w:r>
      <w:r>
        <w:rPr>
          <w:rFonts w:ascii="Times New Roman" w:hAnsi="Times New Roman" w:eastAsia="方正黑体简体" w:cs="Times New Roman"/>
          <w:b/>
          <w:bCs/>
          <w:highlight w:val="none"/>
          <w:lang w:val="en-US"/>
        </w:rPr>
        <w:t>主要财务数据</w:t>
      </w:r>
    </w:p>
    <w:p>
      <w:pPr>
        <w:pStyle w:val="2"/>
        <w:spacing w:line="600" w:lineRule="exact"/>
        <w:ind w:firstLine="6023" w:firstLineChars="2000"/>
        <w:jc w:val="both"/>
        <w:rPr>
          <w:rFonts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highlight w:val="none"/>
          <w:lang w:val="en-US"/>
        </w:rPr>
        <w:t>单位：人民币万元</w:t>
      </w:r>
    </w:p>
    <w:tbl>
      <w:tblPr>
        <w:tblStyle w:val="7"/>
        <w:tblW w:w="7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36" w:type="dxa"/>
          </w:tcPr>
          <w:p>
            <w:pPr>
              <w:pStyle w:val="2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项  目</w:t>
            </w:r>
          </w:p>
        </w:tc>
        <w:tc>
          <w:tcPr>
            <w:tcW w:w="4204" w:type="dxa"/>
          </w:tcPr>
          <w:p>
            <w:pPr>
              <w:pStyle w:val="2"/>
              <w:spacing w:line="60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/>
              </w:rPr>
              <w:t>本期金额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36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营业总收入</w:t>
            </w:r>
          </w:p>
        </w:tc>
        <w:tc>
          <w:tcPr>
            <w:tcW w:w="4204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81,754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36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营业总成本</w:t>
            </w:r>
          </w:p>
        </w:tc>
        <w:tc>
          <w:tcPr>
            <w:tcW w:w="4204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79,082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36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利润总额</w:t>
            </w:r>
          </w:p>
        </w:tc>
        <w:tc>
          <w:tcPr>
            <w:tcW w:w="4204" w:type="dxa"/>
          </w:tcPr>
          <w:p>
            <w:pPr>
              <w:pStyle w:val="2"/>
              <w:spacing w:line="6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7,249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736" w:type="dxa"/>
          </w:tcPr>
          <w:p>
            <w:pPr>
              <w:pStyle w:val="2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净利润</w:t>
            </w:r>
          </w:p>
        </w:tc>
        <w:tc>
          <w:tcPr>
            <w:tcW w:w="4204" w:type="dxa"/>
          </w:tcPr>
          <w:p>
            <w:pPr>
              <w:pStyle w:val="2"/>
              <w:spacing w:line="60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  <w:t>5,012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736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highlight w:val="none"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资产总额</w:t>
            </w:r>
          </w:p>
        </w:tc>
        <w:tc>
          <w:tcPr>
            <w:tcW w:w="4204" w:type="dxa"/>
          </w:tcPr>
          <w:p>
            <w:pPr>
              <w:pStyle w:val="2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highlight w:val="none"/>
                <w:lang w:val="en-US"/>
              </w:rPr>
              <w:t>582,070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736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负债总额</w:t>
            </w:r>
          </w:p>
        </w:tc>
        <w:tc>
          <w:tcPr>
            <w:tcW w:w="4204" w:type="dxa"/>
          </w:tcPr>
          <w:p>
            <w:pPr>
              <w:pStyle w:val="2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450,730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736" w:type="dxa"/>
          </w:tcPr>
          <w:p>
            <w:pPr>
              <w:pStyle w:val="2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所有者权益</w:t>
            </w:r>
          </w:p>
        </w:tc>
        <w:tc>
          <w:tcPr>
            <w:tcW w:w="4204" w:type="dxa"/>
          </w:tcPr>
          <w:p>
            <w:pPr>
              <w:pStyle w:val="2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highlight w:val="none"/>
                <w:lang w:val="en-US" w:bidi="ar-SA"/>
              </w:rPr>
              <w:t>131,340</w:t>
            </w:r>
          </w:p>
        </w:tc>
      </w:tr>
    </w:tbl>
    <w:p>
      <w:pPr>
        <w:spacing w:line="200" w:lineRule="exact"/>
        <w:ind w:left="641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</w:p>
    <w:p>
      <w:pPr>
        <w:spacing w:line="580" w:lineRule="exact"/>
        <w:ind w:left="640"/>
        <w:rPr>
          <w:rFonts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>
      <w:pPr>
        <w:spacing w:line="580" w:lineRule="exact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热电集团2025年1-9月预算营业总收入75,462万元，实际完成率108.3%，年度营业总收入目标131,530万元，目前完成年度目标的62.16%；1-9月预算利润总额7,153万元，实际完成率101.3%，年度利润总额目标9538.60万元，目前完成年度目标的76.00%</w:t>
      </w:r>
    </w:p>
    <w:p>
      <w:pPr>
        <w:spacing w:line="580" w:lineRule="exact"/>
        <w:ind w:firstLine="643" w:firstLineChars="200"/>
        <w:rPr>
          <w:rFonts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</w:t>
      </w:r>
      <w:r>
        <w:rPr>
          <w:rFonts w:hint="eastAsia" w:ascii="Times New Roman" w:hAnsi="Times New Roman" w:eastAsia="方正黑体简体" w:cs="Times New Roman"/>
          <w:b/>
          <w:bCs/>
          <w:sz w:val="32"/>
          <w:szCs w:val="32"/>
          <w:highlight w:val="none"/>
          <w:lang w:val="en-US" w:eastAsia="zh-CN" w:bidi="zh-CN"/>
        </w:rPr>
        <w:t>三季度内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重大事项及对企业的影响</w:t>
      </w:r>
    </w:p>
    <w:p>
      <w:pPr>
        <w:spacing w:line="580" w:lineRule="exact"/>
        <w:ind w:firstLine="643" w:firstLineChars="200"/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highlight w:val="none"/>
          <w:lang w:val="en-US" w:eastAsia="zh-CN" w:bidi="ar-SA"/>
        </w:rPr>
        <w:t>无。</w:t>
      </w:r>
    </w:p>
    <w:p>
      <w:pPr>
        <w:spacing w:line="580" w:lineRule="exact"/>
        <w:ind w:firstLine="640" w:firstLineChars="200"/>
        <w:rPr>
          <w:rFonts w:ascii="方正黑体简体" w:hAnsi="方正黑体简体" w:eastAsia="方正黑体简体" w:cs="方正黑体简体"/>
          <w:sz w:val="32"/>
          <w:szCs w:val="32"/>
          <w:highlight w:val="yellow"/>
          <w:lang w:val="en-US"/>
        </w:rPr>
      </w:pPr>
    </w:p>
    <w:p>
      <w:pPr>
        <w:rPr>
          <w:highlight w:val="yellow"/>
          <w:lang w:val="en-US"/>
        </w:rPr>
      </w:pPr>
    </w:p>
    <w:p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C3584AD2-4675-48CD-8686-7328FFC7F99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386BC17-90F9-4180-9846-BE8B72E27BC5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48951033-A8C7-415A-9EF7-01F7AB2BBBB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9EA7CF5-D808-4853-8367-33B7D95AE7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lMTkxYzAzYTA1YjE1MjM4OWUyMDQyMzNmOGVlN2IifQ=="/>
  </w:docVars>
  <w:rsids>
    <w:rsidRoot w:val="00AB01EA"/>
    <w:rsid w:val="00015A87"/>
    <w:rsid w:val="000168AA"/>
    <w:rsid w:val="000A0544"/>
    <w:rsid w:val="000D614C"/>
    <w:rsid w:val="00151E71"/>
    <w:rsid w:val="002135C1"/>
    <w:rsid w:val="00271CDE"/>
    <w:rsid w:val="00300466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6448B5"/>
    <w:rsid w:val="00667382"/>
    <w:rsid w:val="006928AD"/>
    <w:rsid w:val="00693743"/>
    <w:rsid w:val="006B7A98"/>
    <w:rsid w:val="00702DC4"/>
    <w:rsid w:val="00710A95"/>
    <w:rsid w:val="007209DF"/>
    <w:rsid w:val="007A0DD0"/>
    <w:rsid w:val="007A5A03"/>
    <w:rsid w:val="007A7033"/>
    <w:rsid w:val="007E6DD0"/>
    <w:rsid w:val="008001A9"/>
    <w:rsid w:val="00806BE9"/>
    <w:rsid w:val="0084329B"/>
    <w:rsid w:val="008A74B2"/>
    <w:rsid w:val="008D33C1"/>
    <w:rsid w:val="008F345A"/>
    <w:rsid w:val="0091505B"/>
    <w:rsid w:val="009C4B22"/>
    <w:rsid w:val="00A24713"/>
    <w:rsid w:val="00A26E02"/>
    <w:rsid w:val="00AA3DFD"/>
    <w:rsid w:val="00AB01EA"/>
    <w:rsid w:val="00AB3601"/>
    <w:rsid w:val="00AC59A2"/>
    <w:rsid w:val="00AD0180"/>
    <w:rsid w:val="00AE7C83"/>
    <w:rsid w:val="00B078E2"/>
    <w:rsid w:val="00B15769"/>
    <w:rsid w:val="00B860E7"/>
    <w:rsid w:val="00BA25C7"/>
    <w:rsid w:val="00BD36F7"/>
    <w:rsid w:val="00BD7A30"/>
    <w:rsid w:val="00C26DCF"/>
    <w:rsid w:val="00C27E86"/>
    <w:rsid w:val="00C82BDE"/>
    <w:rsid w:val="00CA3314"/>
    <w:rsid w:val="00CB4B86"/>
    <w:rsid w:val="00CC02D6"/>
    <w:rsid w:val="00CC7327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68C3E93"/>
    <w:rsid w:val="0BAA1044"/>
    <w:rsid w:val="0C1300BA"/>
    <w:rsid w:val="0C825E98"/>
    <w:rsid w:val="110C3C07"/>
    <w:rsid w:val="11D529E3"/>
    <w:rsid w:val="13B862C8"/>
    <w:rsid w:val="14D830A2"/>
    <w:rsid w:val="16DB2490"/>
    <w:rsid w:val="17303DFB"/>
    <w:rsid w:val="1B1803C0"/>
    <w:rsid w:val="208262A6"/>
    <w:rsid w:val="256C088D"/>
    <w:rsid w:val="2AB96756"/>
    <w:rsid w:val="2B3123C2"/>
    <w:rsid w:val="2B4D2B50"/>
    <w:rsid w:val="2D2A27C3"/>
    <w:rsid w:val="2DCE7635"/>
    <w:rsid w:val="2E9539DE"/>
    <w:rsid w:val="31117233"/>
    <w:rsid w:val="315E085A"/>
    <w:rsid w:val="32DA0AFB"/>
    <w:rsid w:val="34833A65"/>
    <w:rsid w:val="359C4116"/>
    <w:rsid w:val="365668DF"/>
    <w:rsid w:val="38095B8A"/>
    <w:rsid w:val="38856A3B"/>
    <w:rsid w:val="3ADE08F5"/>
    <w:rsid w:val="3B0764C2"/>
    <w:rsid w:val="3C1C67B4"/>
    <w:rsid w:val="3EB218E1"/>
    <w:rsid w:val="40204729"/>
    <w:rsid w:val="40BD03D8"/>
    <w:rsid w:val="422B5A9B"/>
    <w:rsid w:val="46625A9C"/>
    <w:rsid w:val="4D663EEA"/>
    <w:rsid w:val="4F2D2E4E"/>
    <w:rsid w:val="4FF87A52"/>
    <w:rsid w:val="5D195C77"/>
    <w:rsid w:val="5E5E5DDC"/>
    <w:rsid w:val="61693D2A"/>
    <w:rsid w:val="663C74B6"/>
    <w:rsid w:val="67C52FC9"/>
    <w:rsid w:val="6D316FBD"/>
    <w:rsid w:val="6F4A2487"/>
    <w:rsid w:val="71096180"/>
    <w:rsid w:val="73A033E2"/>
    <w:rsid w:val="73FE1D6C"/>
    <w:rsid w:val="76323B4E"/>
    <w:rsid w:val="772028AC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rPr>
      <w:sz w:val="32"/>
      <w:szCs w:val="32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3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546</Words>
  <Characters>650</Characters>
  <Lines>11</Lines>
  <Paragraphs>3</Paragraphs>
  <TotalTime>2</TotalTime>
  <ScaleCrop>false</ScaleCrop>
  <LinksUpToDate>false</LinksUpToDate>
  <CharactersWithSpaces>660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2023-10-26T09:09:00Z</dcterms:created>
  <dc:creator>lenovo</dc:creator>
  <cp:lastModifiedBy>张娜</cp:lastModifiedBy>
  <cp:lastPrinted>2022-08-29T09:18:00Z</cp:lastPrinted>
  <dcterms:modified xsi:type="dcterms:W3CDTF">2025-10-31T09:03:13Z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D29803BF08854434B3C9FF82037947CC_13</vt:lpwstr>
  </property>
  <property fmtid="{D5CDD505-2E9C-101B-9397-08002B2CF9AE}" pid="4" name="KSOTemplateDocerSaveRecord">
    <vt:lpwstr>eyJoZGlkIjoiMjYyNDcxZTE5ODVlMmY0MmNkYjRjOGViMThkOTA1MGUiLCJ1c2VySWQiOiI1MzMxNzAxOTYifQ==</vt:lpwstr>
  </property>
</Properties>
</file>