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嘉祥玖贡置业有限公司</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5</w:t>
      </w:r>
      <w:r>
        <w:rPr>
          <w:rFonts w:hint="eastAsia" w:ascii="Times New Roman" w:hAnsi="Times New Roman" w:eastAsia="方正小标宋简体" w:cs="方正小标宋简体"/>
          <w:b/>
          <w:bCs/>
          <w:sz w:val="44"/>
          <w:szCs w:val="44"/>
        </w:rPr>
        <w:t>年</w:t>
      </w:r>
      <w:r>
        <w:rPr>
          <w:rFonts w:hint="eastAsia" w:ascii="Times New Roman" w:hAnsi="Times New Roman" w:eastAsia="方正小标宋简体" w:cs="方正小标宋简体"/>
          <w:b/>
          <w:bCs/>
          <w:sz w:val="44"/>
          <w:szCs w:val="44"/>
          <w:lang w:eastAsia="zh-CN"/>
        </w:rPr>
        <w:t>三</w:t>
      </w:r>
      <w:r>
        <w:rPr>
          <w:rFonts w:hint="eastAsia" w:ascii="Times New Roman" w:hAnsi="Times New Roman" w:eastAsia="方正小标宋简体" w:cs="方正小标宋简体"/>
          <w:b/>
          <w:bCs/>
          <w:sz w:val="44"/>
          <w:szCs w:val="44"/>
          <w:lang w:val="en-US" w:eastAsia="zh-CN"/>
        </w:rPr>
        <w:t>季度</w:t>
      </w:r>
      <w:r>
        <w:rPr>
          <w:rFonts w:hint="eastAsia" w:ascii="Times New Roman" w:hAnsi="Times New Roman" w:eastAsia="方正小标宋简体" w:cs="方正小标宋简体"/>
          <w:b/>
          <w:bCs/>
          <w:sz w:val="44"/>
          <w:szCs w:val="44"/>
        </w:rPr>
        <w:t>财务等重大信息公开</w:t>
      </w:r>
    </w:p>
    <w:p>
      <w:pPr>
        <w:spacing w:line="600" w:lineRule="exact"/>
        <w:rPr>
          <w:rFonts w:ascii="Times New Roman" w:hAnsi="Times New Roman" w:eastAsia="方正小标宋简体" w:cs="Times New Roman"/>
          <w:b/>
          <w:bCs/>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textAlignment w:val="auto"/>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 xml:space="preserve">公司基本情况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嘉祥玖贡置业有限公司是山东公用置业有限公司与九巨龙房地产开发集团</w:t>
      </w:r>
      <w:r>
        <w:rPr>
          <w:rFonts w:hint="eastAsia" w:ascii="Times New Roman" w:hAnsi="Times New Roman" w:eastAsia="方正仿宋简体" w:cs="Times New Roman"/>
          <w:b/>
          <w:bCs/>
          <w:sz w:val="32"/>
          <w:szCs w:val="32"/>
          <w:lang w:val="en-US" w:eastAsia="zh-CN"/>
        </w:rPr>
        <w:t>各</w:t>
      </w:r>
      <w:r>
        <w:rPr>
          <w:rFonts w:hint="default" w:ascii="Times New Roman" w:hAnsi="Times New Roman" w:eastAsia="方正仿宋简体" w:cs="Times New Roman"/>
          <w:b/>
          <w:bCs/>
          <w:sz w:val="32"/>
          <w:szCs w:val="32"/>
          <w:lang w:val="en-US" w:eastAsia="zh-CN"/>
        </w:rPr>
        <w:t>出资</w:t>
      </w:r>
      <w:r>
        <w:rPr>
          <w:rFonts w:hint="eastAsia" w:ascii="Times New Roman" w:hAnsi="Times New Roman" w:eastAsia="方正仿宋简体" w:cs="Times New Roman"/>
          <w:b/>
          <w:bCs/>
          <w:sz w:val="32"/>
          <w:szCs w:val="32"/>
          <w:lang w:val="en-US" w:eastAsia="zh-CN"/>
        </w:rPr>
        <w:t>50%</w:t>
      </w:r>
      <w:r>
        <w:rPr>
          <w:rFonts w:hint="default" w:ascii="Times New Roman" w:hAnsi="Times New Roman" w:eastAsia="方正仿宋简体" w:cs="Times New Roman"/>
          <w:b/>
          <w:bCs/>
          <w:sz w:val="32"/>
          <w:szCs w:val="32"/>
          <w:lang w:val="en-US" w:eastAsia="zh-CN"/>
        </w:rPr>
        <w:t>设立的企业</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成立于2018年8月</w:t>
      </w:r>
      <w:r>
        <w:rPr>
          <w:rFonts w:hint="eastAsia" w:ascii="Times New Roman" w:hAnsi="Times New Roman" w:eastAsia="方正仿宋简体" w:cs="Times New Roman"/>
          <w:b/>
          <w:bCs/>
          <w:sz w:val="32"/>
          <w:szCs w:val="32"/>
          <w:lang w:val="en-US" w:eastAsia="zh-CN"/>
        </w:rPr>
        <w:t>22日</w:t>
      </w:r>
      <w:r>
        <w:rPr>
          <w:rFonts w:hint="default" w:ascii="Times New Roman" w:hAnsi="Times New Roman" w:eastAsia="方正仿宋简体" w:cs="Times New Roman"/>
          <w:b/>
          <w:bCs/>
          <w:sz w:val="32"/>
          <w:szCs w:val="32"/>
          <w:lang w:val="en-US" w:eastAsia="zh-CN"/>
        </w:rPr>
        <w:t>，注册资本金2000万元</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经营范围包括房地产开发经营。（依法须经批准的项目，经相关部门批准后方可开展经营活动）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公司以“树立品牌形象，建设优质工程，打造诚信企业”为宗旨，一贯坚持以“市场为导向、开发为重点、经营为龙头、质量为根本”的开发理念和经营方针，致力于开发精品楼盘，优化嘉祥人居环境，精心为客户提供全方位、高品质的良好服务，走品牌化发展道路，开发项目以典雅恢弘的建筑，匠心独运的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公司开发项目为嘉祥公用丨九巨龙·山水龙城，位于嘉祥县嘉祥街道，小区坐拥优越的青山绿水资源---萌山公园、萌山湖，“依山、傍水、拥湖、赏园”的同时，也规划设计了和项目浑然一体的园内景观。基于对高端人居的深刻洞察，打造智能化社区，聚焦城市高端科技，小区内安装社区直饮水系统、智能入户、社区安防系统、可视对讲、快递智能收发系统、社区WIFI系统，科技融入社区的每一个角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企业名称：嘉祥玖贡置业有限公司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注册地址：山东省济宁市嘉祥县获麟街115号（自来水公司院内）3号楼二楼东侧北首第一间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登记机关：济宁市嘉祥县行政审批服务局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经营范围：房地产开发经营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企业类型：其他有限责任公司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成立日期：2018年08月22日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楷体简体" w:cs="方正楷体简体"/>
          <w:b/>
          <w:bCs/>
          <w:sz w:val="32"/>
          <w:szCs w:val="32"/>
        </w:rPr>
        <w:t>（三）机构设置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公司设董事会，成员5人；设总经理1人；设6个部室、1个项目部，分别为：综合部、财务部、工程部、成本部、采购部、销售部、山水龙城项目部。</w:t>
      </w:r>
    </w:p>
    <w:p>
      <w:pPr>
        <w:numPr>
          <w:ilvl w:val="0"/>
          <w:numId w:val="1"/>
        </w:numPr>
        <w:snapToGrid w:val="0"/>
        <w:spacing w:line="60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bCs/>
          <w:sz w:val="32"/>
          <w:szCs w:val="32"/>
        </w:rPr>
        <w:t>主要会计数据和财务指标</w:t>
      </w:r>
    </w:p>
    <w:tbl>
      <w:tblPr>
        <w:tblStyle w:val="5"/>
        <w:tblpPr w:leftFromText="180" w:rightFromText="180" w:vertAnchor="text" w:horzAnchor="page" w:tblpX="1630" w:tblpY="590"/>
        <w:tblOverlap w:val="never"/>
        <w:tblW w:w="8940" w:type="dxa"/>
        <w:tblInd w:w="0" w:type="dxa"/>
        <w:tblLayout w:type="autofit"/>
        <w:tblCellMar>
          <w:top w:w="0" w:type="dxa"/>
          <w:left w:w="108" w:type="dxa"/>
          <w:bottom w:w="0" w:type="dxa"/>
          <w:right w:w="108" w:type="dxa"/>
        </w:tblCellMar>
      </w:tblPr>
      <w:tblGrid>
        <w:gridCol w:w="1317"/>
        <w:gridCol w:w="1769"/>
        <w:gridCol w:w="2042"/>
        <w:gridCol w:w="2042"/>
        <w:gridCol w:w="1770"/>
      </w:tblGrid>
      <w:tr>
        <w:tblPrEx>
          <w:tblCellMar>
            <w:top w:w="0" w:type="dxa"/>
            <w:left w:w="108" w:type="dxa"/>
            <w:bottom w:w="0" w:type="dxa"/>
            <w:right w:w="108" w:type="dxa"/>
          </w:tblCellMar>
        </w:tblPrEx>
        <w:trPr>
          <w:trHeight w:val="525" w:hRule="atLeast"/>
        </w:trPr>
        <w:tc>
          <w:tcPr>
            <w:tcW w:w="8940" w:type="dxa"/>
            <w:gridSpan w:val="5"/>
            <w:tcBorders>
              <w:top w:val="nil"/>
              <w:left w:val="nil"/>
              <w:bottom w:val="nil"/>
              <w:right w:val="nil"/>
            </w:tcBorders>
            <w:shd w:val="clear" w:color="auto" w:fill="auto"/>
            <w:noWrap/>
            <w:vAlign w:val="center"/>
          </w:tcPr>
          <w:p>
            <w:pPr>
              <w:widowControl/>
              <w:textAlignment w:val="center"/>
              <w:rPr>
                <w:rFonts w:ascii="Times New Roman" w:hAnsi="Times New Roman" w:eastAsia="宋体" w:cs="宋体"/>
                <w:color w:val="000000"/>
                <w:sz w:val="22"/>
                <w:szCs w:val="22"/>
              </w:rPr>
            </w:pPr>
            <w:r>
              <w:rPr>
                <w:rFonts w:hint="eastAsia" w:ascii="Times New Roman" w:hAnsi="Times New Roman" w:eastAsia="宋体" w:cs="宋体"/>
                <w:color w:val="000000"/>
                <w:kern w:val="0"/>
                <w:sz w:val="22"/>
                <w:szCs w:val="22"/>
              </w:rPr>
              <w:t>单位： 嘉祥玖贡置业有限公司                                           单位：万元</w:t>
            </w:r>
          </w:p>
        </w:tc>
      </w:tr>
      <w:tr>
        <w:tblPrEx>
          <w:tblCellMar>
            <w:top w:w="0" w:type="dxa"/>
            <w:left w:w="108" w:type="dxa"/>
            <w:bottom w:w="0" w:type="dxa"/>
            <w:right w:w="108" w:type="dxa"/>
          </w:tblCellMar>
        </w:tblPrEx>
        <w:trPr>
          <w:trHeight w:val="600" w:hRule="atLeast"/>
        </w:trPr>
        <w:tc>
          <w:tcPr>
            <w:tcW w:w="131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17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本期金额</w:t>
            </w:r>
          </w:p>
        </w:tc>
        <w:tc>
          <w:tcPr>
            <w:tcW w:w="2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年度预算目标</w:t>
            </w:r>
          </w:p>
        </w:tc>
        <w:tc>
          <w:tcPr>
            <w:tcW w:w="2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预算完成情况</w:t>
            </w:r>
          </w:p>
        </w:tc>
        <w:tc>
          <w:tcPr>
            <w:tcW w:w="177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上年同期</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营业总收入</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53</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78</w:t>
            </w:r>
            <w:r>
              <w:rPr>
                <w:rFonts w:hint="default" w:ascii="Times New Roman" w:hAnsi="Times New Roman" w:eastAsia="宋体" w:cs="Times New Roman"/>
                <w:i w:val="0"/>
                <w:iCs w:val="0"/>
                <w:color w:val="000000"/>
                <w:kern w:val="0"/>
                <w:sz w:val="22"/>
                <w:szCs w:val="22"/>
                <w:u w:val="none"/>
                <w:lang w:val="en-US" w:eastAsia="zh-CN" w:bidi="ar"/>
              </w:rPr>
              <w:t>5.00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82,344.16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65.32</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46,931.00</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营业总成本</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40,623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65,812.27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61.73</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34,643.00</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利润总额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11,485.00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16,537.00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69.45</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10,620.00</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净利润</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8,614.00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12,402.75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69.45</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8,502.00</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资产总额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208,930.00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174,670.48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19.61</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225,241.00</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负债总额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189,970.00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151,921.42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25.04</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216,886.00</w:t>
            </w:r>
          </w:p>
        </w:tc>
      </w:tr>
      <w:tr>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所有者权益</w:t>
            </w:r>
          </w:p>
        </w:tc>
        <w:tc>
          <w:tcPr>
            <w:tcW w:w="176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18,960.00</w:t>
            </w:r>
          </w:p>
        </w:tc>
        <w:tc>
          <w:tcPr>
            <w:tcW w:w="204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22,749.06</w:t>
            </w:r>
          </w:p>
        </w:tc>
        <w:tc>
          <w:tcPr>
            <w:tcW w:w="204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83.34</w:t>
            </w:r>
            <w:r>
              <w:rPr>
                <w:rFonts w:hint="default" w:ascii="Times New Roman" w:hAnsi="Times New Roman" w:eastAsia="宋体" w:cs="Times New Roman"/>
                <w:i w:val="0"/>
                <w:iCs w:val="0"/>
                <w:color w:val="000000"/>
                <w:kern w:val="0"/>
                <w:sz w:val="22"/>
                <w:szCs w:val="22"/>
                <w:u w:val="none"/>
                <w:lang w:val="en-US" w:eastAsia="zh-CN" w:bidi="ar"/>
              </w:rPr>
              <w:t>%</w:t>
            </w:r>
          </w:p>
        </w:tc>
        <w:tc>
          <w:tcPr>
            <w:tcW w:w="177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8,355.00</w:t>
            </w:r>
          </w:p>
        </w:tc>
      </w:tr>
    </w:tbl>
    <w:p>
      <w:pPr>
        <w:snapToGrid w:val="0"/>
        <w:spacing w:line="600" w:lineRule="exact"/>
        <w:ind w:firstLine="643" w:firstLineChars="200"/>
        <w:rPr>
          <w:rFonts w:ascii="Times New Roman" w:hAnsi="Times New Roman" w:eastAsia="方正小标宋简体" w:cs="Times New Roman"/>
          <w:b/>
          <w:bCs/>
          <w:sz w:val="32"/>
          <w:szCs w:val="32"/>
        </w:rPr>
      </w:pPr>
      <w:r>
        <w:rPr>
          <w:rFonts w:hint="eastAsia" w:ascii="Times New Roman" w:hAnsi="Times New Roman" w:eastAsia="方正黑体简体" w:cs="Times New Roman"/>
          <w:b/>
          <w:bCs/>
          <w:sz w:val="32"/>
          <w:szCs w:val="32"/>
        </w:rPr>
        <w:t>三</w:t>
      </w:r>
      <w:r>
        <w:rPr>
          <w:rFonts w:ascii="Times New Roman" w:hAnsi="Times New Roman" w:eastAsia="方正黑体简体" w:cs="Times New Roman"/>
          <w:b/>
          <w:bCs/>
          <w:sz w:val="32"/>
          <w:szCs w:val="32"/>
        </w:rPr>
        <w:t>、财务预算执行情况</w:t>
      </w:r>
    </w:p>
    <w:p>
      <w:pPr>
        <w:spacing w:line="56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lang w:val="en-US" w:eastAsia="zh-CN"/>
        </w:rPr>
        <w:t>2025年第三度</w:t>
      </w:r>
      <w:r>
        <w:rPr>
          <w:rFonts w:hint="eastAsia" w:ascii="Times New Roman" w:hAnsi="Times New Roman" w:eastAsia="方正仿宋简体" w:cs="方正仿宋简体"/>
          <w:b/>
          <w:bCs/>
          <w:sz w:val="32"/>
          <w:szCs w:val="32"/>
        </w:rPr>
        <w:t>累计实现营业收入</w:t>
      </w:r>
      <w:r>
        <w:rPr>
          <w:rFonts w:hint="eastAsia" w:ascii="Times New Roman" w:hAnsi="Times New Roman" w:eastAsia="方正仿宋简体" w:cs="方正仿宋简体"/>
          <w:b/>
          <w:bCs/>
          <w:sz w:val="32"/>
          <w:szCs w:val="32"/>
          <w:lang w:val="en-US" w:eastAsia="zh-CN"/>
        </w:rPr>
        <w:t>5.38亿</w:t>
      </w:r>
      <w:r>
        <w:rPr>
          <w:rFonts w:hint="eastAsia" w:ascii="Times New Roman" w:hAnsi="Times New Roman" w:eastAsia="方正仿宋简体" w:cs="方正仿宋简体"/>
          <w:b/>
          <w:bCs/>
          <w:sz w:val="32"/>
          <w:szCs w:val="32"/>
        </w:rPr>
        <w:t>元</w:t>
      </w:r>
      <w:r>
        <w:rPr>
          <w:rFonts w:hint="eastAsia" w:ascii="Times New Roman" w:hAnsi="Times New Roman" w:eastAsia="方正仿宋简体" w:cs="方正仿宋简体"/>
          <w:b/>
          <w:bCs/>
          <w:sz w:val="32"/>
          <w:szCs w:val="32"/>
          <w:lang w:eastAsia="zh-CN"/>
        </w:rPr>
        <w:t>，较全年预算目标</w:t>
      </w:r>
      <w:r>
        <w:rPr>
          <w:rFonts w:hint="eastAsia" w:ascii="Times New Roman" w:hAnsi="Times New Roman" w:eastAsia="方正仿宋简体" w:cs="方正仿宋简体"/>
          <w:b/>
          <w:bCs/>
          <w:sz w:val="32"/>
          <w:szCs w:val="32"/>
          <w:lang w:val="en-US" w:eastAsia="zh-CN"/>
        </w:rPr>
        <w:t>8.23</w:t>
      </w:r>
      <w:r>
        <w:rPr>
          <w:rFonts w:hint="eastAsia" w:ascii="Times New Roman" w:hAnsi="Times New Roman" w:eastAsia="方正仿宋简体" w:cs="方正仿宋简体"/>
          <w:b/>
          <w:bCs/>
          <w:sz w:val="32"/>
          <w:szCs w:val="32"/>
          <w:lang w:eastAsia="zh-CN"/>
        </w:rPr>
        <w:t>亿元完成</w:t>
      </w:r>
      <w:r>
        <w:rPr>
          <w:rFonts w:hint="eastAsia" w:ascii="Times New Roman" w:hAnsi="Times New Roman" w:eastAsia="方正仿宋简体" w:cs="方正仿宋简体"/>
          <w:b/>
          <w:bCs/>
          <w:sz w:val="32"/>
          <w:szCs w:val="32"/>
          <w:lang w:val="en-US" w:eastAsia="zh-CN"/>
        </w:rPr>
        <w:t>65.32</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；累计实现利润总额</w:t>
      </w:r>
      <w:r>
        <w:rPr>
          <w:rFonts w:hint="eastAsia" w:ascii="Times New Roman" w:hAnsi="Times New Roman" w:eastAsia="方正仿宋简体" w:cs="方正仿宋简体"/>
          <w:b/>
          <w:bCs/>
          <w:sz w:val="32"/>
          <w:szCs w:val="32"/>
          <w:lang w:val="en-US" w:eastAsia="zh-CN"/>
        </w:rPr>
        <w:t>1.15亿</w:t>
      </w:r>
      <w:r>
        <w:rPr>
          <w:rFonts w:hint="eastAsia" w:ascii="Times New Roman" w:hAnsi="Times New Roman" w:eastAsia="方正仿宋简体" w:cs="方正仿宋简体"/>
          <w:b/>
          <w:bCs/>
          <w:sz w:val="32"/>
          <w:szCs w:val="32"/>
        </w:rPr>
        <w:t>元，较全年预算目标</w:t>
      </w:r>
      <w:r>
        <w:rPr>
          <w:rFonts w:hint="eastAsia" w:ascii="Times New Roman" w:hAnsi="Times New Roman" w:eastAsia="方正仿宋简体" w:cs="方正仿宋简体"/>
          <w:b/>
          <w:bCs/>
          <w:sz w:val="32"/>
          <w:szCs w:val="32"/>
          <w:lang w:val="en-US" w:eastAsia="zh-CN"/>
        </w:rPr>
        <w:t>1.65亿</w:t>
      </w:r>
      <w:r>
        <w:rPr>
          <w:rFonts w:hint="eastAsia" w:ascii="Times New Roman" w:hAnsi="Times New Roman" w:eastAsia="方正仿宋简体" w:cs="方正仿宋简体"/>
          <w:b/>
          <w:bCs/>
          <w:sz w:val="32"/>
          <w:szCs w:val="32"/>
        </w:rPr>
        <w:t>元完成</w:t>
      </w:r>
      <w:r>
        <w:rPr>
          <w:rFonts w:hint="eastAsia" w:ascii="Times New Roman" w:hAnsi="Times New Roman" w:eastAsia="方正仿宋简体" w:cs="方正仿宋简体"/>
          <w:b/>
          <w:bCs/>
          <w:sz w:val="32"/>
          <w:szCs w:val="32"/>
          <w:lang w:val="en-US" w:eastAsia="zh-CN"/>
        </w:rPr>
        <w:t>69.45%</w:t>
      </w:r>
      <w:r>
        <w:rPr>
          <w:rFonts w:hint="eastAsia" w:ascii="Times New Roman" w:hAnsi="Times New Roman" w:eastAsia="方正仿宋简体" w:cs="方正仿宋简体"/>
          <w:b/>
          <w:bCs/>
          <w:sz w:val="32"/>
          <w:szCs w:val="32"/>
        </w:rPr>
        <w:t>；</w:t>
      </w:r>
      <w:r>
        <w:rPr>
          <w:rFonts w:hint="eastAsia" w:ascii="Times New Roman" w:hAnsi="Times New Roman" w:eastAsia="方正仿宋简体" w:cs="方正仿宋简体"/>
          <w:b/>
          <w:bCs/>
          <w:sz w:val="32"/>
          <w:szCs w:val="32"/>
          <w:lang w:val="en-US" w:eastAsia="zh-CN"/>
        </w:rPr>
        <w:t>9月底</w:t>
      </w:r>
      <w:r>
        <w:rPr>
          <w:rFonts w:hint="eastAsia" w:ascii="Times New Roman" w:hAnsi="Times New Roman" w:eastAsia="方正仿宋简体" w:cs="方正仿宋简体"/>
          <w:b/>
          <w:bCs/>
          <w:sz w:val="32"/>
          <w:szCs w:val="32"/>
        </w:rPr>
        <w:t>资产负债率</w:t>
      </w:r>
      <w:r>
        <w:rPr>
          <w:rFonts w:hint="eastAsia" w:ascii="Times New Roman" w:hAnsi="Times New Roman" w:eastAsia="方正仿宋简体" w:cs="方正仿宋简体"/>
          <w:b/>
          <w:bCs/>
          <w:sz w:val="32"/>
          <w:szCs w:val="32"/>
          <w:lang w:val="en-US" w:eastAsia="zh-CN"/>
        </w:rPr>
        <w:t>90.9%</w:t>
      </w:r>
      <w:r>
        <w:rPr>
          <w:rFonts w:hint="eastAsia" w:ascii="Times New Roman" w:hAnsi="Times New Roman" w:eastAsia="方正仿宋简体" w:cs="方正仿宋简体"/>
          <w:b/>
          <w:bCs/>
          <w:sz w:val="32"/>
          <w:szCs w:val="32"/>
        </w:rPr>
        <w:t>，比去年同期的</w:t>
      </w:r>
      <w:r>
        <w:rPr>
          <w:rFonts w:hint="eastAsia" w:ascii="Times New Roman" w:hAnsi="Times New Roman" w:eastAsia="方正仿宋简体" w:cs="方正仿宋简体"/>
          <w:b/>
          <w:bCs/>
          <w:sz w:val="32"/>
          <w:szCs w:val="32"/>
          <w:lang w:val="en-US" w:eastAsia="zh-CN"/>
        </w:rPr>
        <w:t>96.3%下降</w:t>
      </w:r>
      <w:r>
        <w:rPr>
          <w:rFonts w:hint="eastAsia" w:ascii="Times New Roman" w:hAnsi="Times New Roman" w:eastAsia="方正仿宋简体" w:cs="方正仿宋简体"/>
          <w:b/>
          <w:bCs/>
          <w:sz w:val="32"/>
          <w:szCs w:val="32"/>
        </w:rPr>
        <w:t>了</w:t>
      </w:r>
      <w:r>
        <w:rPr>
          <w:rFonts w:hint="eastAsia" w:ascii="Times New Roman" w:hAnsi="Times New Roman" w:eastAsia="方正仿宋简体" w:cs="方正仿宋简体"/>
          <w:b/>
          <w:bCs/>
          <w:sz w:val="32"/>
          <w:szCs w:val="32"/>
          <w:lang w:val="en-US" w:eastAsia="zh-CN"/>
        </w:rPr>
        <w:t>5.4</w:t>
      </w:r>
      <w:r>
        <w:rPr>
          <w:rFonts w:hint="eastAsia" w:ascii="Times New Roman" w:hAnsi="Times New Roman" w:eastAsia="方正仿宋简体" w:cs="方正仿宋简体"/>
          <w:b/>
          <w:bCs/>
          <w:sz w:val="32"/>
          <w:szCs w:val="32"/>
        </w:rPr>
        <w:t>个百分点。</w:t>
      </w:r>
    </w:p>
    <w:p>
      <w:pPr>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四</w:t>
      </w:r>
      <w:r>
        <w:rPr>
          <w:rFonts w:ascii="Times New Roman" w:hAnsi="Times New Roman" w:eastAsia="方正黑体简体" w:cs="Times New Roman"/>
          <w:b/>
          <w:bCs/>
          <w:sz w:val="32"/>
          <w:szCs w:val="32"/>
        </w:rPr>
        <w:t>、</w:t>
      </w:r>
      <w:r>
        <w:rPr>
          <w:rFonts w:hint="eastAsia" w:ascii="Times New Roman" w:hAnsi="Times New Roman" w:eastAsia="方正黑体简体" w:cs="Times New Roman"/>
          <w:b/>
          <w:bCs/>
          <w:sz w:val="32"/>
          <w:szCs w:val="32"/>
          <w:lang w:val="en-US" w:eastAsia="zh-CN"/>
        </w:rPr>
        <w:t>2025年第三季度内发生的重大事项及对公司的影响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未发生</w:t>
      </w:r>
      <w:r>
        <w:rPr>
          <w:rFonts w:hint="eastAsia" w:ascii="Times New Roman" w:hAnsi="Times New Roman" w:eastAsia="方正仿宋简体" w:cs="方正仿宋简体"/>
          <w:b/>
          <w:bCs/>
          <w:sz w:val="32"/>
          <w:szCs w:val="32"/>
          <w:lang w:val="en-US" w:eastAsia="zh-CN"/>
        </w:rPr>
        <w:t>重大事项。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B3C65"/>
    <w:rsid w:val="000B768B"/>
    <w:rsid w:val="000F4906"/>
    <w:rsid w:val="001048D2"/>
    <w:rsid w:val="001225CF"/>
    <w:rsid w:val="0016636E"/>
    <w:rsid w:val="00173818"/>
    <w:rsid w:val="001E70D3"/>
    <w:rsid w:val="001F0930"/>
    <w:rsid w:val="00243895"/>
    <w:rsid w:val="002659B0"/>
    <w:rsid w:val="0027474F"/>
    <w:rsid w:val="002F0D05"/>
    <w:rsid w:val="0033664A"/>
    <w:rsid w:val="00387CC5"/>
    <w:rsid w:val="003A2581"/>
    <w:rsid w:val="003B2746"/>
    <w:rsid w:val="003C0776"/>
    <w:rsid w:val="003D4ECA"/>
    <w:rsid w:val="003F200B"/>
    <w:rsid w:val="0040651C"/>
    <w:rsid w:val="004B3BB3"/>
    <w:rsid w:val="004B51FE"/>
    <w:rsid w:val="004C19A7"/>
    <w:rsid w:val="004F2DF9"/>
    <w:rsid w:val="005304BC"/>
    <w:rsid w:val="00545BAB"/>
    <w:rsid w:val="00590DF4"/>
    <w:rsid w:val="005C6338"/>
    <w:rsid w:val="005D0127"/>
    <w:rsid w:val="00646654"/>
    <w:rsid w:val="00663457"/>
    <w:rsid w:val="006C787C"/>
    <w:rsid w:val="007534E3"/>
    <w:rsid w:val="007B1BD4"/>
    <w:rsid w:val="007D5E77"/>
    <w:rsid w:val="00814BA3"/>
    <w:rsid w:val="008152B0"/>
    <w:rsid w:val="00843F2E"/>
    <w:rsid w:val="00883DD5"/>
    <w:rsid w:val="008A4D0D"/>
    <w:rsid w:val="008A6F95"/>
    <w:rsid w:val="00921990"/>
    <w:rsid w:val="00956D2F"/>
    <w:rsid w:val="009A5685"/>
    <w:rsid w:val="009D48DC"/>
    <w:rsid w:val="009E5784"/>
    <w:rsid w:val="00A45B31"/>
    <w:rsid w:val="00A87960"/>
    <w:rsid w:val="00B47D29"/>
    <w:rsid w:val="00B72AA9"/>
    <w:rsid w:val="00BA5853"/>
    <w:rsid w:val="00C34F1A"/>
    <w:rsid w:val="00C471A1"/>
    <w:rsid w:val="00C60935"/>
    <w:rsid w:val="00C65F09"/>
    <w:rsid w:val="00C6627E"/>
    <w:rsid w:val="00D153C1"/>
    <w:rsid w:val="00D2501B"/>
    <w:rsid w:val="00D33D8F"/>
    <w:rsid w:val="00D34D61"/>
    <w:rsid w:val="00D43CE6"/>
    <w:rsid w:val="00DA289F"/>
    <w:rsid w:val="00DB13BB"/>
    <w:rsid w:val="00E01818"/>
    <w:rsid w:val="00E0765F"/>
    <w:rsid w:val="00E25793"/>
    <w:rsid w:val="00E60C18"/>
    <w:rsid w:val="00E6208D"/>
    <w:rsid w:val="00EC0809"/>
    <w:rsid w:val="00F53553"/>
    <w:rsid w:val="026B117B"/>
    <w:rsid w:val="04C07E5F"/>
    <w:rsid w:val="06D01345"/>
    <w:rsid w:val="08246BD0"/>
    <w:rsid w:val="0DD16F1A"/>
    <w:rsid w:val="122F2667"/>
    <w:rsid w:val="1626244B"/>
    <w:rsid w:val="19560A59"/>
    <w:rsid w:val="1A5C4879"/>
    <w:rsid w:val="1C062742"/>
    <w:rsid w:val="1C1651A7"/>
    <w:rsid w:val="1C496371"/>
    <w:rsid w:val="1C5D2A39"/>
    <w:rsid w:val="1C8F2AE8"/>
    <w:rsid w:val="1E2C2318"/>
    <w:rsid w:val="1FFE67CB"/>
    <w:rsid w:val="21785B44"/>
    <w:rsid w:val="2375417F"/>
    <w:rsid w:val="25486BE3"/>
    <w:rsid w:val="26A93DBD"/>
    <w:rsid w:val="27307EC4"/>
    <w:rsid w:val="27F03E2A"/>
    <w:rsid w:val="28716ED4"/>
    <w:rsid w:val="28E8704B"/>
    <w:rsid w:val="290C75C1"/>
    <w:rsid w:val="297C7D06"/>
    <w:rsid w:val="29D47C5C"/>
    <w:rsid w:val="2A4822AF"/>
    <w:rsid w:val="2C7D50CC"/>
    <w:rsid w:val="2E8D617B"/>
    <w:rsid w:val="32777821"/>
    <w:rsid w:val="334308AF"/>
    <w:rsid w:val="38C501C8"/>
    <w:rsid w:val="39AE61CA"/>
    <w:rsid w:val="3C4F1CAB"/>
    <w:rsid w:val="3D910776"/>
    <w:rsid w:val="3DC4168B"/>
    <w:rsid w:val="3DF23407"/>
    <w:rsid w:val="3EA017DC"/>
    <w:rsid w:val="3FBD419A"/>
    <w:rsid w:val="419C0824"/>
    <w:rsid w:val="4228602D"/>
    <w:rsid w:val="42335C28"/>
    <w:rsid w:val="425E3225"/>
    <w:rsid w:val="44244964"/>
    <w:rsid w:val="444B4611"/>
    <w:rsid w:val="455B3491"/>
    <w:rsid w:val="49094950"/>
    <w:rsid w:val="4BCB5DD0"/>
    <w:rsid w:val="4EC937F4"/>
    <w:rsid w:val="4EEF2F58"/>
    <w:rsid w:val="4FB8342C"/>
    <w:rsid w:val="52DF6C8B"/>
    <w:rsid w:val="536B2CB8"/>
    <w:rsid w:val="57404164"/>
    <w:rsid w:val="576B5048"/>
    <w:rsid w:val="5AA17B99"/>
    <w:rsid w:val="5AD277FB"/>
    <w:rsid w:val="5C24341D"/>
    <w:rsid w:val="5E145AF2"/>
    <w:rsid w:val="5E830FE3"/>
    <w:rsid w:val="5F412942"/>
    <w:rsid w:val="5FA47421"/>
    <w:rsid w:val="60785E58"/>
    <w:rsid w:val="61B5226F"/>
    <w:rsid w:val="655D0199"/>
    <w:rsid w:val="66792F89"/>
    <w:rsid w:val="66EC3CFC"/>
    <w:rsid w:val="692A1D76"/>
    <w:rsid w:val="6A5519A2"/>
    <w:rsid w:val="6C305B70"/>
    <w:rsid w:val="6CDE381E"/>
    <w:rsid w:val="6D8C75E7"/>
    <w:rsid w:val="6E19256C"/>
    <w:rsid w:val="6F386241"/>
    <w:rsid w:val="6F481423"/>
    <w:rsid w:val="71CD2FAB"/>
    <w:rsid w:val="71D022E5"/>
    <w:rsid w:val="72DC21B0"/>
    <w:rsid w:val="73E963DB"/>
    <w:rsid w:val="75D26FF0"/>
    <w:rsid w:val="75EB3B8E"/>
    <w:rsid w:val="7ACE35B6"/>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 w:type="paragraph" w:customStyle="1" w:styleId="10">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11">
    <w:name w:val="默认"/>
    <w:qFormat/>
    <w:uiPriority w:val="0"/>
    <w:pPr>
      <w:framePr w:wrap="around" w:vAnchor="margin" w:hAnchor="text" w:y="1"/>
      <w:spacing w:before="160"/>
    </w:pPr>
    <w:rPr>
      <w:rFonts w:hint="eastAsia" w:ascii="Arial Unicode MS" w:hAnsi="Arial Unicode MS" w:eastAsia="Helvetica Neue" w:cs="Arial Unicode MS"/>
      <w:color w:val="000000"/>
      <w:sz w:val="24"/>
      <w:szCs w:val="24"/>
      <w:lang w:val="zh-CN" w:eastAsia="zh-CN" w:bidi="ar-SA"/>
    </w:rPr>
  </w:style>
  <w:style w:type="character" w:customStyle="1" w:styleId="12">
    <w:name w:val="font1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895</Words>
  <Characters>1162</Characters>
  <Lines>8</Lines>
  <Paragraphs>2</Paragraphs>
  <TotalTime>0</TotalTime>
  <ScaleCrop>false</ScaleCrop>
  <LinksUpToDate>false</LinksUpToDate>
  <CharactersWithSpaces>1228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2025-10-31T09:39:58Z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46431C416B6C47AEB559E909CCA891F7_13</vt:lpwstr>
  </property>
  <property fmtid="{D5CDD505-2E9C-101B-9397-08002B2CF9AE}" pid="4" name="commondata">
    <vt:lpwstr>eyJoZGlkIjoiMzIxYmMwMDJkYjZiMmFlYzdhY2YzYTliOWFhN2UxMzIifQ==</vt:lpwstr>
  </property>
  <property fmtid="{D5CDD505-2E9C-101B-9397-08002B2CF9AE}" pid="5" name="KSOTemplateDocerSaveRecord">
    <vt:lpwstr>eyJoZGlkIjoiNGVlNmVjZjE1YzdkM2YyM2Q4ZTQ4ZTI2NmM4MTRkYjEiLCJ1c2VySWQiOiI2MjczODE3NzMifQ==</vt:lpwstr>
  </property>
</Properties>
</file>