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b/>
          <w:bCs/>
          <w:sz w:val="44"/>
          <w:szCs w:val="44"/>
          <w:lang w:val="en-US" w:eastAsia="zh-CN"/>
        </w:rPr>
        <w:t>山东天润方园建筑工程有限公司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2025年三季度财务等重大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</w:rPr>
        <w:t>一、</w:t>
      </w:r>
      <w:r>
        <w:rPr>
          <w:rFonts w:hint="eastAsia" w:ascii="黑体" w:hAnsi="黑体" w:eastAsia="黑体" w:cs="黑体"/>
          <w:b/>
          <w:bCs/>
          <w:szCs w:val="32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bCs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山东天润方园建筑工程有限公司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山东省济宁市北湖区新城发展B座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登记机关：</w:t>
      </w:r>
      <w:r>
        <w:rPr>
          <w:rFonts w:hint="eastAsia" w:eastAsia="方正仿宋简体" w:cs="Times New Roman"/>
          <w:b/>
          <w:bCs/>
          <w:szCs w:val="32"/>
          <w:lang w:val="en-US" w:eastAsia="zh-CN"/>
        </w:rPr>
        <w:t>济宁北湖省级旅游度假区行政审批服务局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bidi="ar-SA"/>
        </w:rPr>
        <w:t>建筑工程、市政公用工程、公路工程、水利工程、防水防腐保温工程、建筑机电安装工程、建筑装修装饰工程、消防工程、钢结构工程、地基基础工程、建筑幕墙工程、城市及道路照明工程、园林绿化工程、环保工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企业类型：</w:t>
      </w:r>
      <w:r>
        <w:rPr>
          <w:rFonts w:hint="eastAsia" w:eastAsia="方正仿宋简体" w:cs="Times New Roman"/>
          <w:b/>
          <w:bCs/>
          <w:szCs w:val="32"/>
          <w:lang w:val="en-US" w:eastAsia="zh-CN"/>
        </w:rPr>
        <w:t>其他有限责任公司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成立日期：</w:t>
      </w:r>
      <w:r>
        <w:rPr>
          <w:rFonts w:hint="eastAsia" w:eastAsia="方正仿宋简体" w:cs="Times New Roman"/>
          <w:b/>
          <w:bCs/>
          <w:szCs w:val="32"/>
          <w:lang w:val="en-US" w:eastAsia="zh-CN"/>
        </w:rPr>
        <w:t>2008年11月24日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二、主要会计数据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和财务指标</w:t>
      </w:r>
    </w:p>
    <w:tbl>
      <w:tblPr>
        <w:tblStyle w:val="5"/>
        <w:tblW w:w="8430" w:type="dxa"/>
        <w:tblInd w:w="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3090"/>
        <w:gridCol w:w="3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-9月份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单位：人民币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43,445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10,028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42739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9571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706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281" w:firstLineChars="1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本期金额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45,022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34,531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38,079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28,243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6,943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6,288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财务预算执行情况</w:t>
      </w:r>
    </w:p>
    <w:p>
      <w:pPr>
        <w:spacing w:line="64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月份公司累计实现营业总收入</w:t>
      </w:r>
      <w:r>
        <w:rPr>
          <w:rFonts w:hint="eastAsia" w:eastAsia="方正仿宋简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43,445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eastAsia="方正仿宋简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33507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129.66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%，较上年同期</w:t>
      </w:r>
      <w:r>
        <w:rPr>
          <w:rFonts w:hint="eastAsia" w:eastAsia="方正仿宋简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10,028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万元，增加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33417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1736.94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%。</w:t>
      </w:r>
    </w:p>
    <w:p>
      <w:pPr>
        <w:spacing w:line="64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月份累计实现营业总成本</w:t>
      </w:r>
      <w:r>
        <w:rPr>
          <w:rFonts w:hint="eastAsia" w:eastAsia="方正仿宋简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42739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万元，其中：营业成本累计实现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42,313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万元，完成全年预算的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31745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万元的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134.63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%，较去年同期</w:t>
      </w:r>
      <w:r>
        <w:rPr>
          <w:rFonts w:hint="eastAsia" w:eastAsia="方正仿宋简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9571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万元，增加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33168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346.55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64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月份累计实现利润总额</w:t>
      </w:r>
      <w:r>
        <w:rPr>
          <w:rFonts w:hint="eastAsia" w:eastAsia="方正仿宋简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706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879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万元的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80.32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%，较上年同期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457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增加422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增长92.34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%。</w:t>
      </w:r>
    </w:p>
    <w:p>
      <w:pPr>
        <w:spacing w:line="64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lang w:val="en-US" w:eastAsia="zh-CN"/>
        </w:rPr>
        <w:t>四、三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</w:rPr>
        <w:t>季度内发生的重大事项及对公司的影响</w:t>
      </w:r>
    </w:p>
    <w:p>
      <w:pPr>
        <w:spacing w:line="64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无重大事项。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highlight w:val="none"/>
          <w:lang w:eastAsia="zh-CN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F29296-151C-4CA2-9171-FA80167E10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9E311C9-0850-4A6E-8B63-8B03A91B2C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1A27BF-BD29-4341-8800-E34F619AA82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BAA742-5A17-45B5-B71D-6EBECC45B5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81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  <w:szCs w:val="24"/>
    </w:rPr>
  </w:style>
  <w:style w:type="paragraph" w:styleId="3">
    <w:name w:val="Balloon Text"/>
    <w:basedOn w:val="1"/>
    <w:link w:val="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722</Characters>
  <Lines>8</Lines>
  <Paragraphs>2</Paragraphs>
  <TotalTime>0</TotalTime>
  <ScaleCrop>false</ScaleCrop>
  <LinksUpToDate>false</LinksUpToDate>
  <CharactersWithSpaces>741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2021-08-04T09:28:00Z</dcterms:created>
  <dc:creator>admin</dc:creator>
  <cp:lastModifiedBy>张娜</cp:lastModifiedBy>
  <cp:lastPrinted>2023-04-20T08:50:00Z</cp:lastPrinted>
  <dcterms:modified xsi:type="dcterms:W3CDTF">2025-10-31T09:42:21Z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742000E8DCC94AADA1DED5D4233CAB1C_13</vt:lpwstr>
  </property>
  <property fmtid="{D5CDD505-2E9C-101B-9397-08002B2CF9AE}" pid="4" name="KSOTemplateDocerSaveRecord">
    <vt:lpwstr>eyJoZGlkIjoiNGQ3OWY2OWE4MTQyODJiZDBmNmQ0OTM3OTU3YjI2ODEifQ==</vt:lpwstr>
  </property>
</Properties>
</file>