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山东公用集团济宁装饰工程有限公司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2025年三季度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财务等重大信息公开</w:t>
      </w:r>
    </w:p>
    <w:p>
      <w:pPr>
        <w:spacing w:line="240" w:lineRule="exact"/>
        <w:rPr>
          <w:b/>
          <w:bCs/>
        </w:rPr>
      </w:pPr>
    </w:p>
    <w:p>
      <w:pPr>
        <w:spacing w:line="600" w:lineRule="exact"/>
        <w:ind w:firstLine="643" w:firstLineChars="200"/>
        <w:rPr>
          <w:rFonts w:hint="eastAsia" w:ascii="方正黑体简体" w:eastAsia="方正黑体简体"/>
          <w:b/>
          <w:bCs/>
        </w:rPr>
      </w:pPr>
    </w:p>
    <w:p>
      <w:pPr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黑体简体" w:eastAsia="方正黑体简体"/>
          <w:b/>
          <w:bCs/>
        </w:rPr>
        <w:t>一、</w:t>
      </w: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企业基本情况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</w:rPr>
      </w:pPr>
      <w:r>
        <w:rPr>
          <w:rFonts w:hint="eastAsia" w:ascii="方正仿宋简体" w:hAnsi="方正仿宋简体" w:eastAsia="方正仿宋简体" w:cs="方正仿宋简体"/>
          <w:b/>
          <w:bCs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bCs/>
          <w:szCs w:val="32"/>
        </w:rPr>
        <w:t>名称：</w:t>
      </w:r>
      <w:r>
        <w:rPr>
          <w:rFonts w:eastAsia="方正仿宋简体"/>
          <w:b/>
          <w:bCs/>
        </w:rPr>
        <w:t>山东公用集团济宁装饰工程有限公司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</w:rPr>
      </w:pPr>
      <w:r>
        <w:rPr>
          <w:rFonts w:hint="eastAsia" w:eastAsia="方正仿宋简体"/>
          <w:b/>
          <w:bCs/>
          <w:szCs w:val="32"/>
        </w:rPr>
        <w:t>注册地址：</w:t>
      </w:r>
      <w:r>
        <w:rPr>
          <w:rFonts w:eastAsia="方正仿宋简体"/>
          <w:b/>
          <w:bCs/>
        </w:rPr>
        <w:t>山东省济宁市共青团北路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  <w:szCs w:val="32"/>
        </w:rPr>
      </w:pPr>
      <w:r>
        <w:rPr>
          <w:rFonts w:eastAsia="方正仿宋简体"/>
          <w:b/>
          <w:bCs/>
          <w:szCs w:val="32"/>
        </w:rPr>
        <w:t>登记机关：</w:t>
      </w:r>
      <w:r>
        <w:rPr>
          <w:rFonts w:hint="eastAsia" w:eastAsia="方正仿宋简体"/>
          <w:b/>
          <w:bCs/>
        </w:rPr>
        <w:t>济宁市行政审批服务局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</w:rPr>
      </w:pPr>
      <w:r>
        <w:rPr>
          <w:rFonts w:eastAsia="方正仿宋简体"/>
          <w:b/>
          <w:bCs/>
          <w:szCs w:val="32"/>
        </w:rPr>
        <w:t>经营范围：</w:t>
      </w:r>
      <w:r>
        <w:rPr>
          <w:rFonts w:eastAsia="方正仿宋简体"/>
          <w:b/>
          <w:bCs/>
        </w:rPr>
        <w:t>建设工程施工；施工专业作业；建筑劳务分包；住宅室内装饰装修；建设工程设计；电气安装服务。（依法须经批准的项目，经相关部门批准后方可开展经营活动，具体经营项目以相关部门批准文件或许可证件为准）一般项目：对外承包工程；园林绿化工程施工；土石方工程施工；金属门窗工程施工；住宅水电安装维护服务；建筑材料销售；金属材料销售；涂料销售（不含危险化学品）；电气设备销售；保温材料销售；五金产品批发；门窗销售；卫生洁具销售；卫生陶瓷制品销售；消防器材销售；建筑装饰材料销售；建筑工程机械与设备租赁；集装箱租赁服务。（除依法须经批准的项目外，凭营业执照依法自主开展经营活动）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</w:rPr>
      </w:pPr>
      <w:r>
        <w:rPr>
          <w:rFonts w:eastAsia="方正仿宋简体"/>
          <w:b/>
          <w:bCs/>
          <w:szCs w:val="32"/>
        </w:rPr>
        <w:t>企业类型：</w:t>
      </w:r>
      <w:r>
        <w:rPr>
          <w:rFonts w:hint="eastAsia" w:eastAsia="方正仿宋简体"/>
          <w:b/>
          <w:bCs/>
        </w:rPr>
        <w:t>有限责任公司（非自然人投资或控股的法人独资）</w:t>
      </w:r>
    </w:p>
    <w:p>
      <w:pPr>
        <w:spacing w:line="600" w:lineRule="exact"/>
        <w:ind w:firstLine="643" w:firstLineChars="200"/>
        <w:rPr>
          <w:rFonts w:eastAsia="方正仿宋简体"/>
          <w:b/>
          <w:bCs/>
        </w:rPr>
      </w:pPr>
      <w:r>
        <w:rPr>
          <w:rFonts w:eastAsia="方正仿宋简体"/>
          <w:b/>
          <w:bCs/>
          <w:szCs w:val="32"/>
        </w:rPr>
        <w:t>成立日期：</w:t>
      </w:r>
      <w:r>
        <w:rPr>
          <w:rFonts w:hint="eastAsia" w:eastAsia="方正仿宋简体"/>
          <w:b/>
          <w:bCs/>
        </w:rPr>
        <w:t>1</w:t>
      </w:r>
      <w:r>
        <w:rPr>
          <w:rFonts w:eastAsia="方正仿宋简体"/>
          <w:b/>
          <w:bCs/>
        </w:rPr>
        <w:t>993</w:t>
      </w:r>
      <w:r>
        <w:rPr>
          <w:rFonts w:hint="eastAsia" w:eastAsia="方正仿宋简体"/>
          <w:b/>
          <w:bCs/>
        </w:rPr>
        <w:t>年</w:t>
      </w:r>
      <w:r>
        <w:rPr>
          <w:rFonts w:eastAsia="方正仿宋简体"/>
          <w:b/>
          <w:bCs/>
        </w:rPr>
        <w:t>2</w:t>
      </w:r>
      <w:r>
        <w:rPr>
          <w:rFonts w:hint="eastAsia" w:eastAsia="方正仿宋简体"/>
          <w:b/>
          <w:bCs/>
        </w:rPr>
        <w:t>月1</w:t>
      </w:r>
      <w:r>
        <w:rPr>
          <w:rFonts w:eastAsia="方正仿宋简体"/>
          <w:b/>
          <w:bCs/>
        </w:rPr>
        <w:t>2</w:t>
      </w:r>
      <w:r>
        <w:rPr>
          <w:rFonts w:hint="eastAsia" w:eastAsia="方正仿宋简体"/>
          <w:b/>
          <w:bCs/>
        </w:rPr>
        <w:t>日</w:t>
      </w:r>
    </w:p>
    <w:p>
      <w:pPr>
        <w:spacing w:line="600" w:lineRule="exact"/>
        <w:ind w:firstLine="643" w:firstLineChars="200"/>
        <w:rPr>
          <w:rFonts w:hint="eastAsia" w:ascii="方正黑体简体" w:hAnsi="方正仿宋简体" w:eastAsia="方正黑体简体" w:cs="方正仿宋简体"/>
          <w:b/>
          <w:bCs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二</w:t>
      </w:r>
      <w:r>
        <w:rPr>
          <w:rFonts w:ascii="方正黑体简体" w:hAnsi="方正仿宋简体" w:eastAsia="方正黑体简体" w:cs="方正仿宋简体"/>
          <w:b/>
          <w:bCs/>
          <w:szCs w:val="32"/>
        </w:rPr>
        <w:t>、</w:t>
      </w: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主要会计数据和财务指标</w:t>
      </w:r>
    </w:p>
    <w:tbl>
      <w:tblPr>
        <w:tblStyle w:val="7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3165"/>
        <w:gridCol w:w="3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2025年三季度主要财务数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</w:rPr>
              <w:t>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单位：人民币</w:t>
            </w: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Cs w:val="32"/>
              </w:rPr>
              <w:t>675.55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szCs w:val="32"/>
              </w:rPr>
              <w:t>957.22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664.72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938.34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szCs w:val="32"/>
              </w:rPr>
              <w:t>10.86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bCs/>
                <w:szCs w:val="32"/>
              </w:rPr>
              <w:t>13.34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2446.24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2154.32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3831.78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3550.72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-1385.54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eastAsia="方正仿宋简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28"/>
                <w:szCs w:val="28"/>
              </w:rPr>
              <w:t>-1396.40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方正黑体简体" w:hAnsi="方正仿宋简体" w:eastAsia="方正黑体简体" w:cs="方正仿宋简体"/>
          <w:b/>
          <w:bCs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eastAsia="方正仿宋简体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2025年前三季度装饰公司完成收入</w:t>
      </w:r>
      <w:r>
        <w:rPr>
          <w:rFonts w:hint="default" w:ascii="Times New Roman" w:hAnsi="Times New Roman" w:eastAsia="仿宋" w:cs="Times New Roman"/>
          <w:b/>
          <w:bCs/>
          <w:szCs w:val="32"/>
        </w:rPr>
        <w:t>675.55</w:t>
      </w:r>
      <w:r>
        <w:rPr>
          <w:rFonts w:hint="default" w:ascii="Times New Roman" w:hAnsi="Times New Roman" w:eastAsia="方正仿宋简体" w:cs="Times New Roman"/>
          <w:b/>
          <w:bCs/>
        </w:rPr>
        <w:t>万元，完成全年预算目标的41.44%，（全年预算收入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1630万元</w:t>
      </w:r>
      <w:r>
        <w:rPr>
          <w:rFonts w:hint="default" w:ascii="Times New Roman" w:hAnsi="Times New Roman" w:eastAsia="方正仿宋简体" w:cs="Times New Roman"/>
          <w:b/>
          <w:bCs/>
        </w:rPr>
        <w:t>），上年同期完成收入</w:t>
      </w:r>
      <w:r>
        <w:rPr>
          <w:rFonts w:hint="default" w:ascii="Times New Roman" w:hAnsi="Times New Roman" w:eastAsia="仿宋" w:cs="Times New Roman"/>
          <w:b/>
          <w:bCs/>
          <w:szCs w:val="32"/>
        </w:rPr>
        <w:t>957.22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32"/>
        </w:rPr>
        <w:t>万</w:t>
      </w:r>
      <w:r>
        <w:rPr>
          <w:rFonts w:hint="default" w:ascii="Times New Roman" w:hAnsi="Times New Roman" w:eastAsia="方正仿宋简体" w:cs="Times New Roman"/>
          <w:b/>
          <w:bCs/>
        </w:rPr>
        <w:t>元，同比降低</w:t>
      </w:r>
      <w:r>
        <w:rPr>
          <w:rFonts w:hint="default" w:ascii="Times New Roman" w:hAnsi="Times New Roman" w:eastAsia="仿宋" w:cs="Times New Roman"/>
          <w:b/>
          <w:bCs/>
          <w:szCs w:val="32"/>
        </w:rPr>
        <w:t>29.43</w:t>
      </w:r>
      <w:r>
        <w:rPr>
          <w:rFonts w:hint="default" w:ascii="Times New Roman" w:hAnsi="Times New Roman" w:eastAsia="方正仿宋简体" w:cs="Times New Roman"/>
          <w:b/>
          <w:bCs/>
        </w:rPr>
        <w:t>%；实现利润总额</w:t>
      </w:r>
      <w:r>
        <w:rPr>
          <w:rFonts w:hint="default" w:ascii="Times New Roman" w:hAnsi="Times New Roman" w:eastAsia="仿宋" w:cs="Times New Roman"/>
          <w:b/>
          <w:bCs/>
          <w:szCs w:val="32"/>
        </w:rPr>
        <w:t>10.86</w:t>
      </w:r>
      <w:r>
        <w:rPr>
          <w:rFonts w:hint="default" w:ascii="Times New Roman" w:hAnsi="Times New Roman" w:eastAsia="方正仿宋简体" w:cs="Times New Roman"/>
          <w:b/>
          <w:bCs/>
        </w:rPr>
        <w:t>万元，完成全年预算目标的57.16%，（全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</w:rPr>
        <w:t>年预算利润总额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19</w:t>
      </w:r>
      <w:r>
        <w:rPr>
          <w:rFonts w:hint="default" w:ascii="Times New Roman" w:hAnsi="Times New Roman" w:eastAsia="方正仿宋简体" w:cs="Times New Roman"/>
          <w:b/>
          <w:bCs/>
        </w:rPr>
        <w:t>万元），上年同期实现利润总额</w:t>
      </w:r>
      <w:r>
        <w:rPr>
          <w:rFonts w:hint="default" w:ascii="Times New Roman" w:hAnsi="Times New Roman" w:eastAsia="仿宋" w:cs="Times New Roman"/>
          <w:b/>
          <w:bCs/>
          <w:szCs w:val="32"/>
        </w:rPr>
        <w:t>13.34</w:t>
      </w:r>
      <w:r>
        <w:rPr>
          <w:rFonts w:hint="default" w:ascii="Times New Roman" w:hAnsi="Times New Roman" w:eastAsia="方正仿宋简体" w:cs="Times New Roman"/>
          <w:b/>
          <w:bCs/>
        </w:rPr>
        <w:t>万元，同比降低</w:t>
      </w:r>
      <w:r>
        <w:rPr>
          <w:rFonts w:hint="default" w:ascii="Times New Roman" w:hAnsi="Times New Roman" w:cs="Times New Roman"/>
          <w:b/>
          <w:bCs/>
          <w:szCs w:val="32"/>
        </w:rPr>
        <w:t>18.59</w:t>
      </w:r>
      <w:r>
        <w:rPr>
          <w:rFonts w:hint="default" w:ascii="Times New Roman" w:hAnsi="Times New Roman" w:eastAsia="方正仿宋简体" w:cs="Times New Roman"/>
          <w:b/>
          <w:bCs/>
        </w:rPr>
        <w:t>%；实现净利润</w:t>
      </w:r>
      <w:r>
        <w:rPr>
          <w:rFonts w:hint="default" w:ascii="Times New Roman" w:hAnsi="Times New Roman" w:eastAsia="仿宋" w:cs="Times New Roman"/>
          <w:b/>
          <w:bCs/>
          <w:szCs w:val="32"/>
        </w:rPr>
        <w:t>10.86</w:t>
      </w:r>
      <w:r>
        <w:rPr>
          <w:rFonts w:hint="default" w:ascii="Times New Roman" w:hAnsi="Times New Roman" w:eastAsia="方正仿宋简体" w:cs="Times New Roman"/>
          <w:b/>
          <w:bCs/>
        </w:rPr>
        <w:t>万元，完成全年预算目标的57.16%，（全年预算净利润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19</w:t>
      </w:r>
      <w:r>
        <w:rPr>
          <w:rFonts w:hint="default" w:ascii="Times New Roman" w:hAnsi="Times New Roman" w:eastAsia="方正仿宋简体" w:cs="Times New Roman"/>
          <w:b/>
          <w:bCs/>
        </w:rPr>
        <w:t>万元），上年同期实现净利润</w:t>
      </w:r>
      <w:r>
        <w:rPr>
          <w:rFonts w:hint="default" w:ascii="Times New Roman" w:hAnsi="Times New Roman" w:eastAsia="仿宋" w:cs="Times New Roman"/>
          <w:b/>
          <w:bCs/>
          <w:szCs w:val="32"/>
        </w:rPr>
        <w:t>13.34</w:t>
      </w:r>
      <w:r>
        <w:rPr>
          <w:rFonts w:hint="default" w:ascii="Times New Roman" w:hAnsi="Times New Roman" w:eastAsia="方正仿宋简体" w:cs="Times New Roman"/>
          <w:b/>
          <w:bCs/>
        </w:rPr>
        <w:t>万元，同比降低</w:t>
      </w:r>
      <w:r>
        <w:rPr>
          <w:rFonts w:hint="default" w:ascii="Times New Roman" w:hAnsi="Times New Roman" w:cs="Times New Roman"/>
          <w:b/>
          <w:bCs/>
          <w:szCs w:val="32"/>
        </w:rPr>
        <w:t>18.59</w:t>
      </w:r>
      <w:r>
        <w:rPr>
          <w:rFonts w:hint="default" w:ascii="Times New Roman" w:hAnsi="Times New Roman" w:eastAsia="方正仿宋简体" w:cs="Times New Roman"/>
          <w:b/>
          <w:bCs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</w:rPr>
      </w:pPr>
      <w:r>
        <w:rPr>
          <w:rFonts w:hint="eastAsia" w:ascii="方正黑体简体" w:hAnsi="方正黑体简体" w:eastAsia="方正黑体简体" w:cs="方正黑体简体"/>
          <w:b/>
          <w:bCs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bCs/>
        </w:rPr>
        <w:t>季度内发生的重大事项及对公司的影响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textAlignment w:val="auto"/>
        <w:rPr>
          <w:rFonts w:hint="eastAsia" w:eastAsia="方正仿宋简体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无重大事项。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104ED"/>
    <w:rsid w:val="00030789"/>
    <w:rsid w:val="000335DA"/>
    <w:rsid w:val="00042CA0"/>
    <w:rsid w:val="00077DD4"/>
    <w:rsid w:val="00171AC3"/>
    <w:rsid w:val="00210D2C"/>
    <w:rsid w:val="0021463C"/>
    <w:rsid w:val="00237C00"/>
    <w:rsid w:val="002B330A"/>
    <w:rsid w:val="002F3702"/>
    <w:rsid w:val="00395C77"/>
    <w:rsid w:val="003B06E4"/>
    <w:rsid w:val="004608FE"/>
    <w:rsid w:val="004A3658"/>
    <w:rsid w:val="004F403E"/>
    <w:rsid w:val="0055488B"/>
    <w:rsid w:val="005E6279"/>
    <w:rsid w:val="006B5110"/>
    <w:rsid w:val="006E4C44"/>
    <w:rsid w:val="006E7C48"/>
    <w:rsid w:val="006F11A2"/>
    <w:rsid w:val="00713BF6"/>
    <w:rsid w:val="00786DD6"/>
    <w:rsid w:val="007E2DAF"/>
    <w:rsid w:val="008519B0"/>
    <w:rsid w:val="008F460B"/>
    <w:rsid w:val="009056FA"/>
    <w:rsid w:val="00957ABB"/>
    <w:rsid w:val="009A1722"/>
    <w:rsid w:val="009B57E5"/>
    <w:rsid w:val="00A3475D"/>
    <w:rsid w:val="00A34A50"/>
    <w:rsid w:val="00B056B2"/>
    <w:rsid w:val="00B36860"/>
    <w:rsid w:val="00B50B59"/>
    <w:rsid w:val="00C51030"/>
    <w:rsid w:val="00C92CA6"/>
    <w:rsid w:val="00CC7A3C"/>
    <w:rsid w:val="00CE438B"/>
    <w:rsid w:val="00DE57A3"/>
    <w:rsid w:val="00E23390"/>
    <w:rsid w:val="00E62BDD"/>
    <w:rsid w:val="00F71E40"/>
    <w:rsid w:val="00FD634F"/>
    <w:rsid w:val="0BF17505"/>
    <w:rsid w:val="0E38013F"/>
    <w:rsid w:val="110D3768"/>
    <w:rsid w:val="11566D84"/>
    <w:rsid w:val="185C6271"/>
    <w:rsid w:val="1FAD4807"/>
    <w:rsid w:val="22A745AD"/>
    <w:rsid w:val="25D86403"/>
    <w:rsid w:val="26CE2C8A"/>
    <w:rsid w:val="29CC2C11"/>
    <w:rsid w:val="3AE36E90"/>
    <w:rsid w:val="3B7E27DA"/>
    <w:rsid w:val="43866A63"/>
    <w:rsid w:val="494F0A57"/>
    <w:rsid w:val="49E97F4F"/>
    <w:rsid w:val="530B4EA7"/>
    <w:rsid w:val="63EA0E2F"/>
    <w:rsid w:val="68350802"/>
    <w:rsid w:val="70E52B41"/>
    <w:rsid w:val="75BD0727"/>
    <w:rsid w:val="76B72BE5"/>
    <w:rsid w:val="793444A3"/>
    <w:rsid w:val="7C653D9E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9">
    <w:name w:val="标题 字符"/>
    <w:basedOn w:val="8"/>
    <w:link w:val="6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774</Characters>
  <Lines>6</Lines>
  <Paragraphs>1</Paragraphs>
  <TotalTime>7</TotalTime>
  <ScaleCrop>false</ScaleCrop>
  <LinksUpToDate>false</LinksUpToDate>
  <CharactersWithSpaces>908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2025-10-28T02:07:00Z</dcterms:created>
  <dc:creator>admin</dc:creator>
  <cp:lastModifiedBy>张娜</cp:lastModifiedBy>
  <cp:lastPrinted>2023-04-20T00:50:00Z</cp:lastPrinted>
  <dcterms:modified xsi:type="dcterms:W3CDTF">2025-10-31T09:21:41Z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8236215F951C43DBAD429A4372620090_13</vt:lpwstr>
  </property>
  <property fmtid="{D5CDD505-2E9C-101B-9397-08002B2CF9AE}" pid="4" name="KSOTemplateDocerSaveRecord">
    <vt:lpwstr>eyJoZGlkIjoiZDI4MWRhZDU4ZWFiZmI5YmJmNjMwMjRmMjEwMjRkNTciLCJ1c2VySWQiOiI0NDg2OTg0MTkifQ==</vt:lpwstr>
  </property>
</Properties>
</file>