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山东公用建设集团有限公司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2025年三季度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财务等重大信息公开</w:t>
      </w:r>
    </w:p>
    <w:p>
      <w:pPr>
        <w:spacing w:line="240" w:lineRule="exact"/>
        <w:rPr>
          <w:b/>
          <w:bCs/>
        </w:rPr>
      </w:pPr>
    </w:p>
    <w:p>
      <w:pPr>
        <w:spacing w:line="600" w:lineRule="exact"/>
        <w:ind w:firstLine="643" w:firstLineChars="200"/>
        <w:rPr>
          <w:rFonts w:hint="eastAsia" w:ascii="方正黑体简体" w:eastAsia="方正黑体简体"/>
          <w:b/>
          <w:bCs/>
        </w:rPr>
      </w:pPr>
    </w:p>
    <w:p>
      <w:pPr>
        <w:spacing w:line="60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szCs w:val="32"/>
        </w:rPr>
      </w:pPr>
      <w:r>
        <w:rPr>
          <w:rFonts w:hint="eastAsia" w:ascii="方正黑体简体" w:eastAsia="方正黑体简体"/>
          <w:b/>
          <w:bCs/>
        </w:rPr>
        <w:t>一、</w:t>
      </w:r>
      <w:r>
        <w:rPr>
          <w:rFonts w:hint="eastAsia" w:ascii="方正黑体简体" w:hAnsi="方正仿宋简体" w:eastAsia="方正黑体简体" w:cs="方正仿宋简体"/>
          <w:b/>
          <w:bCs/>
          <w:szCs w:val="32"/>
        </w:rPr>
        <w:t>企业基本情况</w:t>
      </w:r>
    </w:p>
    <w:p>
      <w:pPr>
        <w:spacing w:line="60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Cs w:val="32"/>
        </w:rPr>
        <w:t>企业</w:t>
      </w:r>
      <w:r>
        <w:rPr>
          <w:rFonts w:ascii="方正仿宋简体" w:hAnsi="方正仿宋简体" w:eastAsia="方正仿宋简体" w:cs="方正仿宋简体"/>
          <w:b/>
          <w:bCs/>
          <w:szCs w:val="32"/>
        </w:rPr>
        <w:t>名称：</w:t>
      </w:r>
      <w:r>
        <w:rPr>
          <w:rFonts w:hint="eastAsia" w:ascii="方正仿宋简体" w:hAnsi="方正仿宋简体" w:eastAsia="方正仿宋简体" w:cs="方正仿宋简体"/>
          <w:b/>
          <w:bCs/>
          <w:szCs w:val="32"/>
        </w:rPr>
        <w:t>山东公用</w:t>
      </w:r>
      <w:r>
        <w:rPr>
          <w:rFonts w:ascii="方正仿宋简体" w:hAnsi="方正仿宋简体" w:eastAsia="方正仿宋简体" w:cs="方正仿宋简体"/>
          <w:b/>
          <w:bCs/>
          <w:szCs w:val="32"/>
        </w:rPr>
        <w:t>建设集团有限公司</w:t>
      </w:r>
    </w:p>
    <w:p>
      <w:pPr>
        <w:spacing w:line="600" w:lineRule="exact"/>
        <w:ind w:firstLine="643" w:firstLineChars="200"/>
        <w:rPr>
          <w:rFonts w:eastAsia="方正仿宋简体"/>
          <w:b/>
          <w:bCs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Cs w:val="32"/>
        </w:rPr>
        <w:t>注册地址：</w:t>
      </w:r>
      <w:r>
        <w:rPr>
          <w:rFonts w:hint="eastAsia" w:ascii="方正仿宋简体" w:hAnsi="方正仿宋简体" w:eastAsia="方正仿宋简体" w:cs="方正仿宋简体"/>
          <w:b/>
          <w:bCs/>
          <w:szCs w:val="32"/>
        </w:rPr>
        <w:t>济</w:t>
      </w:r>
      <w:r>
        <w:rPr>
          <w:rFonts w:eastAsia="方正仿宋简体"/>
          <w:b/>
          <w:bCs/>
          <w:szCs w:val="32"/>
        </w:rPr>
        <w:t>宁市常青路31号</w:t>
      </w:r>
    </w:p>
    <w:p>
      <w:pPr>
        <w:spacing w:line="600" w:lineRule="exact"/>
        <w:ind w:firstLine="643" w:firstLineChars="200"/>
        <w:rPr>
          <w:rFonts w:eastAsia="方正仿宋简体"/>
          <w:b/>
          <w:bCs/>
          <w:szCs w:val="32"/>
        </w:rPr>
      </w:pPr>
      <w:r>
        <w:rPr>
          <w:rFonts w:eastAsia="方正仿宋简体"/>
          <w:b/>
          <w:bCs/>
          <w:szCs w:val="32"/>
        </w:rPr>
        <w:t>登记机关：</w:t>
      </w:r>
      <w:r>
        <w:rPr>
          <w:rFonts w:eastAsia="方正仿宋简体"/>
          <w:b/>
          <w:bCs/>
          <w:szCs w:val="32"/>
        </w:rPr>
        <w:t>济宁市行政审批服务局</w:t>
      </w:r>
    </w:p>
    <w:p>
      <w:pPr>
        <w:spacing w:line="600" w:lineRule="exact"/>
        <w:ind w:firstLine="643" w:firstLineChars="200"/>
        <w:rPr>
          <w:rFonts w:eastAsia="方正仿宋简体"/>
          <w:b/>
          <w:bCs/>
          <w:szCs w:val="32"/>
        </w:rPr>
      </w:pPr>
      <w:r>
        <w:rPr>
          <w:rFonts w:eastAsia="方正仿宋简体"/>
          <w:b/>
          <w:bCs/>
          <w:szCs w:val="32"/>
        </w:rPr>
        <w:t>经营范围：</w:t>
      </w:r>
      <w:r>
        <w:rPr>
          <w:rFonts w:hint="eastAsia" w:eastAsia="方正仿宋简体"/>
          <w:b/>
          <w:bCs/>
          <w:szCs w:val="32"/>
        </w:rPr>
        <w:t>建设工程施工；施工专业作业；建筑劳务分包；特种设备安装改造修理；电气安装服务。（依法须经批准的项目，经相关部门批准后方可开展经营活动，具体经营项目以相关部门批准文件或许可证件为准）一般项目：工程技术服务（规划管理、勘察、设计、监理除外），工程管理服务；市政设施管理，对外承包工程；园林绿化工程施工，土石方工程施工，普通机械设备安装服务；建筑工程机械与设备租赁；机械设备租赁。（除依法须经批准的项目外，凭营业执照依法自主开展经营活动）</w:t>
      </w:r>
      <w:r>
        <w:rPr>
          <w:rFonts w:eastAsia="方正仿宋简体"/>
          <w:b/>
          <w:bCs/>
          <w:szCs w:val="32"/>
        </w:rPr>
        <w:t>。</w:t>
      </w:r>
    </w:p>
    <w:p>
      <w:pPr>
        <w:spacing w:line="600" w:lineRule="exact"/>
        <w:ind w:firstLine="643" w:firstLineChars="200"/>
        <w:rPr>
          <w:rFonts w:eastAsia="方正仿宋简体"/>
          <w:b/>
          <w:bCs/>
          <w:szCs w:val="32"/>
        </w:rPr>
      </w:pPr>
      <w:r>
        <w:rPr>
          <w:rFonts w:eastAsia="方正仿宋简体"/>
          <w:b/>
          <w:bCs/>
          <w:szCs w:val="32"/>
        </w:rPr>
        <w:t>企业类型：</w:t>
      </w:r>
      <w:r>
        <w:rPr>
          <w:rFonts w:eastAsia="方正仿宋简体"/>
          <w:b/>
          <w:bCs/>
          <w:szCs w:val="32"/>
        </w:rPr>
        <w:t>有限责任公司</w:t>
      </w:r>
      <w:r>
        <w:rPr>
          <w:rFonts w:hint="eastAsia" w:eastAsia="方正仿宋简体"/>
          <w:b/>
          <w:bCs/>
          <w:szCs w:val="32"/>
        </w:rPr>
        <w:t>（</w:t>
      </w:r>
      <w:r>
        <w:rPr>
          <w:rFonts w:eastAsia="方正仿宋简体"/>
          <w:b/>
          <w:bCs/>
          <w:szCs w:val="32"/>
        </w:rPr>
        <w:t>非自然人投资或控股的法人独资）</w:t>
      </w:r>
    </w:p>
    <w:p>
      <w:pPr>
        <w:spacing w:line="600" w:lineRule="exact"/>
        <w:ind w:firstLine="643" w:firstLineChars="200"/>
        <w:rPr>
          <w:rFonts w:eastAsia="方正仿宋简体"/>
          <w:b/>
          <w:bCs/>
          <w:szCs w:val="32"/>
        </w:rPr>
      </w:pPr>
      <w:r>
        <w:rPr>
          <w:rFonts w:eastAsia="方正仿宋简体"/>
          <w:b/>
          <w:bCs/>
          <w:szCs w:val="32"/>
        </w:rPr>
        <w:t>成立日期：</w:t>
      </w:r>
      <w:r>
        <w:rPr>
          <w:rFonts w:eastAsia="方正仿宋简体"/>
          <w:b/>
          <w:bCs/>
          <w:szCs w:val="32"/>
        </w:rPr>
        <w:t>2001年10月15日</w:t>
      </w:r>
    </w:p>
    <w:p>
      <w:pPr>
        <w:numPr>
          <w:ilvl w:val="0"/>
          <w:numId w:val="1"/>
        </w:numPr>
        <w:spacing w:line="600" w:lineRule="exact"/>
        <w:ind w:firstLine="643" w:firstLineChars="200"/>
        <w:rPr>
          <w:rFonts w:hint="eastAsia" w:ascii="方正黑体简体" w:hAnsi="方正仿宋简体" w:eastAsia="方正黑体简体" w:cs="方正仿宋简体"/>
          <w:b/>
          <w:bCs/>
          <w:szCs w:val="32"/>
        </w:rPr>
      </w:pPr>
      <w:r>
        <w:rPr>
          <w:rFonts w:hint="eastAsia" w:ascii="方正黑体简体" w:hAnsi="方正仿宋简体" w:eastAsia="方正黑体简体" w:cs="方正仿宋简体"/>
          <w:b/>
          <w:bCs/>
          <w:szCs w:val="32"/>
        </w:rPr>
        <w:t>主要会计数据和财务指标</w:t>
      </w:r>
    </w:p>
    <w:tbl>
      <w:tblPr>
        <w:tblStyle w:val="5"/>
        <w:tblW w:w="876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3345"/>
        <w:gridCol w:w="32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8"/>
                <w:szCs w:val="28"/>
              </w:rPr>
              <w:t>年1-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8"/>
                <w:szCs w:val="28"/>
              </w:rPr>
              <w:t>月份主要财务数据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eastAsia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  <w:t>单位：人民币万元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  <w:t>本期金额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  <w:t>去年同期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  <w:t>营业总收入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b/>
                <w:bCs/>
                <w:color w:val="000000"/>
                <w:kern w:val="0"/>
                <w:sz w:val="28"/>
                <w:szCs w:val="28"/>
              </w:rPr>
              <w:t>160,763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b/>
                <w:bCs/>
                <w:color w:val="000000"/>
                <w:kern w:val="0"/>
                <w:sz w:val="28"/>
                <w:szCs w:val="28"/>
              </w:rPr>
              <w:t>245,435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  <w:t>营业总成本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eastAsia="方正仿宋简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155570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eastAsia="方正仿宋简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240922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  <w:t>利润总额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b/>
                <w:bCs/>
                <w:color w:val="000000"/>
                <w:kern w:val="0"/>
                <w:sz w:val="28"/>
                <w:szCs w:val="28"/>
              </w:rPr>
              <w:t>5,200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b/>
                <w:bCs/>
                <w:color w:val="000000"/>
                <w:kern w:val="0"/>
                <w:sz w:val="28"/>
                <w:szCs w:val="28"/>
              </w:rPr>
              <w:t>4,514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  <w:t>本期金额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  <w:t>年初数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  <w:t>资产总额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b/>
                <w:bCs/>
                <w:color w:val="000000"/>
                <w:kern w:val="0"/>
                <w:sz w:val="28"/>
                <w:szCs w:val="28"/>
              </w:rPr>
              <w:t>899,689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b/>
                <w:bCs/>
                <w:color w:val="000000"/>
                <w:kern w:val="0"/>
                <w:sz w:val="28"/>
                <w:szCs w:val="28"/>
              </w:rPr>
              <w:t>559,781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  <w:t>负债总额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b/>
                <w:bCs/>
                <w:color w:val="000000"/>
                <w:kern w:val="0"/>
                <w:sz w:val="28"/>
                <w:szCs w:val="28"/>
              </w:rPr>
              <w:t>786,311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b/>
                <w:bCs/>
                <w:color w:val="000000"/>
                <w:kern w:val="0"/>
                <w:sz w:val="28"/>
                <w:szCs w:val="28"/>
              </w:rPr>
              <w:t>467,352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  <w:t>所有者权益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b/>
                <w:bCs/>
                <w:color w:val="000000"/>
                <w:kern w:val="0"/>
                <w:sz w:val="28"/>
                <w:szCs w:val="28"/>
              </w:rPr>
              <w:t>113,378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eastAsia="方正仿宋简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b/>
                <w:bCs/>
                <w:color w:val="000000"/>
                <w:kern w:val="0"/>
                <w:sz w:val="28"/>
                <w:szCs w:val="28"/>
              </w:rPr>
              <w:t>92,42</w:t>
            </w:r>
            <w:r>
              <w:rPr>
                <w:rFonts w:hint="eastAsia" w:eastAsia="方正仿宋简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</w:tr>
    </w:tbl>
    <w:p>
      <w:pPr>
        <w:spacing w:line="600" w:lineRule="exact"/>
        <w:ind w:firstLine="643" w:firstLineChars="200"/>
        <w:rPr>
          <w:rFonts w:hint="eastAsia" w:ascii="方正黑体简体" w:hAnsi="方正仿宋简体" w:eastAsia="方正黑体简体" w:cs="方正仿宋简体"/>
          <w:b/>
          <w:bCs/>
          <w:szCs w:val="32"/>
        </w:rPr>
      </w:pPr>
      <w:r>
        <w:rPr>
          <w:rFonts w:hint="eastAsia" w:ascii="方正黑体简体" w:hAnsi="方正仿宋简体" w:eastAsia="方正黑体简体" w:cs="方正仿宋简体"/>
          <w:b/>
          <w:bCs/>
          <w:szCs w:val="32"/>
        </w:rPr>
        <w:t>三、财务预算执行情况</w:t>
      </w:r>
    </w:p>
    <w:p>
      <w:pPr>
        <w:spacing w:line="600" w:lineRule="exact"/>
        <w:ind w:firstLine="643" w:firstLineChars="200"/>
        <w:rPr>
          <w:rFonts w:eastAsia="方正仿宋简体"/>
          <w:b/>
          <w:bCs/>
          <w:highlight w:val="none"/>
        </w:rPr>
      </w:pPr>
      <w:r>
        <w:rPr>
          <w:rFonts w:eastAsia="方正仿宋简体"/>
          <w:b/>
          <w:bCs/>
        </w:rPr>
        <w:t>202</w:t>
      </w:r>
      <w:r>
        <w:rPr>
          <w:rFonts w:hint="eastAsia" w:eastAsia="方正仿宋简体"/>
          <w:b/>
          <w:bCs/>
          <w:lang w:val="en-US" w:eastAsia="zh-CN"/>
        </w:rPr>
        <w:t>5</w:t>
      </w:r>
      <w:r>
        <w:rPr>
          <w:rFonts w:eastAsia="方正仿宋简体"/>
          <w:b/>
          <w:bCs/>
        </w:rPr>
        <w:t>年1-</w:t>
      </w:r>
      <w:r>
        <w:rPr>
          <w:rFonts w:hint="eastAsia" w:eastAsia="方正仿宋简体"/>
          <w:b/>
          <w:bCs/>
          <w:lang w:val="en-US" w:eastAsia="zh-CN"/>
        </w:rPr>
        <w:t>9</w:t>
      </w:r>
      <w:r>
        <w:rPr>
          <w:rFonts w:eastAsia="方正仿宋简体"/>
          <w:b/>
          <w:bCs/>
        </w:rPr>
        <w:t>月份建设集团完成收入</w:t>
      </w:r>
      <w:r>
        <w:rPr>
          <w:rFonts w:hint="eastAsia" w:eastAsia="方正仿宋简体"/>
          <w:b/>
          <w:bCs/>
          <w:lang w:val="en-US" w:eastAsia="zh-CN"/>
        </w:rPr>
        <w:t>16.07</w:t>
      </w:r>
      <w:r>
        <w:rPr>
          <w:rFonts w:eastAsia="方正仿宋简体"/>
          <w:b/>
          <w:bCs/>
        </w:rPr>
        <w:t>亿元，</w:t>
      </w:r>
      <w:r>
        <w:rPr>
          <w:rFonts w:eastAsia="方正仿宋简体"/>
          <w:b/>
          <w:bCs/>
          <w:highlight w:val="none"/>
        </w:rPr>
        <w:t>完成全年预算目标的</w:t>
      </w:r>
      <w:r>
        <w:rPr>
          <w:rFonts w:hint="eastAsia" w:eastAsia="方正仿宋简体"/>
          <w:b/>
          <w:bCs/>
          <w:highlight w:val="none"/>
          <w:lang w:val="en-US" w:eastAsia="zh-CN"/>
        </w:rPr>
        <w:t>43.94</w:t>
      </w:r>
      <w:r>
        <w:rPr>
          <w:rFonts w:eastAsia="方正仿宋简体"/>
          <w:b/>
          <w:bCs/>
          <w:highlight w:val="none"/>
        </w:rPr>
        <w:t>%，（全年预算收入</w:t>
      </w:r>
      <w:r>
        <w:rPr>
          <w:rFonts w:hint="eastAsia" w:eastAsia="方正仿宋简体"/>
          <w:b/>
          <w:bCs/>
          <w:highlight w:val="none"/>
          <w:lang w:val="en-US" w:eastAsia="zh-CN"/>
        </w:rPr>
        <w:t>36.57</w:t>
      </w:r>
      <w:r>
        <w:rPr>
          <w:rFonts w:eastAsia="方正仿宋简体"/>
          <w:b/>
          <w:bCs/>
          <w:highlight w:val="none"/>
        </w:rPr>
        <w:t>亿元），上年同期完成</w:t>
      </w:r>
      <w:r>
        <w:rPr>
          <w:rFonts w:hint="eastAsia" w:eastAsia="方正仿宋简体"/>
          <w:b/>
          <w:bCs/>
          <w:highlight w:val="none"/>
        </w:rPr>
        <w:t>收入</w:t>
      </w:r>
      <w:r>
        <w:rPr>
          <w:rFonts w:hint="eastAsia" w:eastAsia="方正仿宋简体"/>
          <w:b/>
          <w:bCs/>
          <w:highlight w:val="none"/>
          <w:lang w:val="en-US" w:eastAsia="zh-CN"/>
        </w:rPr>
        <w:t>24.54</w:t>
      </w:r>
      <w:r>
        <w:rPr>
          <w:rFonts w:eastAsia="方正仿宋简体"/>
          <w:b/>
          <w:bCs/>
          <w:highlight w:val="none"/>
        </w:rPr>
        <w:t>亿元，同比</w:t>
      </w:r>
      <w:r>
        <w:rPr>
          <w:rFonts w:hint="eastAsia" w:eastAsia="方正仿宋简体"/>
          <w:b/>
          <w:bCs/>
          <w:highlight w:val="none"/>
          <w:lang w:val="en-US" w:eastAsia="zh-CN"/>
        </w:rPr>
        <w:t>减少34.52</w:t>
      </w:r>
      <w:r>
        <w:rPr>
          <w:rFonts w:eastAsia="方正仿宋简体"/>
          <w:b/>
          <w:bCs/>
          <w:highlight w:val="none"/>
        </w:rPr>
        <w:t>%；实现利润总额</w:t>
      </w:r>
      <w:r>
        <w:rPr>
          <w:rFonts w:hint="eastAsia" w:eastAsia="方正仿宋简体"/>
          <w:b/>
          <w:bCs/>
          <w:highlight w:val="none"/>
          <w:lang w:val="en-US" w:eastAsia="zh-CN"/>
        </w:rPr>
        <w:t>5200</w:t>
      </w:r>
      <w:r>
        <w:rPr>
          <w:rFonts w:eastAsia="方正仿宋简体"/>
          <w:b/>
          <w:bCs/>
          <w:highlight w:val="none"/>
        </w:rPr>
        <w:t>万元，完成全年预算目标的</w:t>
      </w:r>
      <w:r>
        <w:rPr>
          <w:rFonts w:hint="eastAsia" w:eastAsia="方正仿宋简体"/>
          <w:b/>
          <w:bCs/>
          <w:highlight w:val="none"/>
          <w:lang w:val="en-US" w:eastAsia="zh-CN"/>
        </w:rPr>
        <w:t>38.74</w:t>
      </w:r>
      <w:r>
        <w:rPr>
          <w:rFonts w:eastAsia="方正仿宋简体"/>
          <w:b/>
          <w:bCs/>
          <w:highlight w:val="none"/>
        </w:rPr>
        <w:t>%，（全年预算利润总额</w:t>
      </w:r>
      <w:r>
        <w:rPr>
          <w:rFonts w:hint="eastAsia" w:eastAsia="方正仿宋简体"/>
          <w:b/>
          <w:bCs/>
          <w:highlight w:val="none"/>
          <w:lang w:val="en-US" w:eastAsia="zh-CN"/>
        </w:rPr>
        <w:t>13424.50</w:t>
      </w:r>
      <w:r>
        <w:rPr>
          <w:rFonts w:eastAsia="方正仿宋简体"/>
          <w:b/>
          <w:bCs/>
          <w:highlight w:val="none"/>
        </w:rPr>
        <w:t>万元），上年同期实现利润总额</w:t>
      </w:r>
      <w:r>
        <w:rPr>
          <w:rFonts w:hint="eastAsia" w:eastAsia="方正仿宋简体"/>
          <w:b/>
          <w:bCs/>
          <w:highlight w:val="none"/>
          <w:lang w:val="en-US" w:eastAsia="zh-CN"/>
        </w:rPr>
        <w:t>4514</w:t>
      </w:r>
      <w:r>
        <w:rPr>
          <w:rFonts w:eastAsia="方正仿宋简体"/>
          <w:b/>
          <w:bCs/>
          <w:highlight w:val="none"/>
        </w:rPr>
        <w:t>万元，同比</w:t>
      </w:r>
      <w:r>
        <w:rPr>
          <w:rFonts w:hint="eastAsia" w:eastAsia="方正仿宋简体"/>
          <w:b/>
          <w:bCs/>
          <w:highlight w:val="none"/>
          <w:lang w:val="en-US" w:eastAsia="zh-CN"/>
        </w:rPr>
        <w:t>上涨</w:t>
      </w:r>
      <w:r>
        <w:rPr>
          <w:rFonts w:eastAsia="方正仿宋简体"/>
          <w:b/>
          <w:bCs/>
          <w:highlight w:val="none"/>
        </w:rPr>
        <w:t>了</w:t>
      </w:r>
      <w:r>
        <w:rPr>
          <w:rFonts w:hint="eastAsia" w:eastAsia="方正仿宋简体"/>
          <w:b/>
          <w:bCs/>
          <w:highlight w:val="none"/>
          <w:lang w:val="en-US" w:eastAsia="zh-CN"/>
        </w:rPr>
        <w:t>15.20</w:t>
      </w:r>
      <w:r>
        <w:rPr>
          <w:rFonts w:eastAsia="方正仿宋简体"/>
          <w:b/>
          <w:bCs/>
          <w:highlight w:val="none"/>
        </w:rPr>
        <w:t>%；实现净利润</w:t>
      </w:r>
      <w:r>
        <w:rPr>
          <w:rFonts w:hint="eastAsia" w:eastAsia="方正仿宋简体"/>
          <w:b/>
          <w:bCs/>
          <w:highlight w:val="none"/>
          <w:lang w:val="en-US" w:eastAsia="zh-CN"/>
        </w:rPr>
        <w:t>3900</w:t>
      </w:r>
      <w:r>
        <w:rPr>
          <w:rFonts w:eastAsia="方正仿宋简体"/>
          <w:b/>
          <w:bCs/>
          <w:highlight w:val="none"/>
        </w:rPr>
        <w:t>万元，完成全年预算目标的</w:t>
      </w:r>
      <w:r>
        <w:rPr>
          <w:rFonts w:hint="eastAsia" w:eastAsia="方正仿宋简体"/>
          <w:b/>
          <w:bCs/>
          <w:highlight w:val="none"/>
          <w:lang w:val="en-US" w:eastAsia="zh-CN"/>
        </w:rPr>
        <w:t>38.93</w:t>
      </w:r>
      <w:r>
        <w:rPr>
          <w:rFonts w:eastAsia="方正仿宋简体"/>
          <w:b/>
          <w:bCs/>
          <w:highlight w:val="none"/>
        </w:rPr>
        <w:t>%，（全年预算净利润</w:t>
      </w:r>
      <w:r>
        <w:rPr>
          <w:rFonts w:hint="eastAsia" w:eastAsia="方正仿宋简体"/>
          <w:b/>
          <w:bCs/>
          <w:highlight w:val="none"/>
          <w:lang w:val="en-US" w:eastAsia="zh-CN"/>
        </w:rPr>
        <w:t>10018.37</w:t>
      </w:r>
      <w:r>
        <w:rPr>
          <w:rFonts w:eastAsia="方正仿宋简体"/>
          <w:b/>
          <w:bCs/>
          <w:highlight w:val="none"/>
        </w:rPr>
        <w:t>万元），上年同期完成净利润</w:t>
      </w:r>
      <w:r>
        <w:rPr>
          <w:rFonts w:hint="eastAsia" w:eastAsia="方正仿宋简体"/>
          <w:b/>
          <w:bCs/>
          <w:highlight w:val="none"/>
          <w:lang w:val="en-US" w:eastAsia="zh-CN"/>
        </w:rPr>
        <w:t>3337</w:t>
      </w:r>
      <w:r>
        <w:rPr>
          <w:rFonts w:eastAsia="方正仿宋简体"/>
          <w:b/>
          <w:bCs/>
          <w:highlight w:val="none"/>
        </w:rPr>
        <w:t>万元，同比</w:t>
      </w:r>
      <w:r>
        <w:rPr>
          <w:rFonts w:hint="eastAsia" w:eastAsia="方正仿宋简体"/>
          <w:b/>
          <w:bCs/>
          <w:highlight w:val="none"/>
          <w:lang w:val="en-US" w:eastAsia="zh-CN"/>
        </w:rPr>
        <w:t>上涨</w:t>
      </w:r>
      <w:r>
        <w:rPr>
          <w:rFonts w:eastAsia="方正仿宋简体"/>
          <w:b/>
          <w:bCs/>
          <w:highlight w:val="none"/>
        </w:rPr>
        <w:t>了</w:t>
      </w:r>
      <w:r>
        <w:rPr>
          <w:rFonts w:hint="eastAsia" w:eastAsia="方正仿宋简体"/>
          <w:b/>
          <w:bCs/>
          <w:highlight w:val="none"/>
          <w:lang w:val="en-US" w:eastAsia="zh-CN"/>
        </w:rPr>
        <w:t>16.87</w:t>
      </w:r>
      <w:r>
        <w:rPr>
          <w:rFonts w:eastAsia="方正仿宋简体"/>
          <w:b/>
          <w:bCs/>
          <w:highlight w:val="none"/>
        </w:rPr>
        <w:t>%</w:t>
      </w:r>
      <w:r>
        <w:rPr>
          <w:rFonts w:hint="eastAsia" w:eastAsia="方正仿宋简体"/>
          <w:b/>
          <w:bCs/>
          <w:highlight w:val="none"/>
        </w:rPr>
        <w:t>。</w:t>
      </w:r>
    </w:p>
    <w:p>
      <w:pPr>
        <w:spacing w:line="600" w:lineRule="exact"/>
        <w:ind w:left="640" w:leftChars="200"/>
        <w:rPr>
          <w:rFonts w:hint="eastAsia" w:ascii="方正黑体简体" w:hAnsi="方正黑体简体" w:eastAsia="方正黑体简体" w:cs="方正黑体简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方正黑体简体" w:hAnsi="方正黑体简体" w:eastAsia="方正黑体简体" w:cs="方正黑体简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黑体简体" w:hAnsi="方正黑体简体" w:eastAsia="方正黑体简体" w:cs="方正黑体简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三季度</w:t>
      </w:r>
      <w:r>
        <w:rPr>
          <w:rFonts w:hint="eastAsia" w:ascii="方正黑体简体" w:hAnsi="方正黑体简体" w:eastAsia="方正黑体简体" w:cs="方正黑体简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内发生的重大事项及对公司的影响</w:t>
      </w:r>
    </w:p>
    <w:p>
      <w:pPr>
        <w:pStyle w:val="2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无重大事项。</w:t>
      </w:r>
    </w:p>
    <w:p>
      <w:pPr>
        <w:spacing w:line="600" w:lineRule="exact"/>
        <w:ind w:firstLine="643" w:firstLineChars="200"/>
        <w:rPr>
          <w:rFonts w:eastAsia="方正仿宋简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9C45FEC-5F97-42C8-AA94-D38C55CB143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08E3E7E7-672A-4A93-A688-AFE48B87382E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69AB38D-6246-45DA-B9DA-E0E020FB6FCA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EA83795-78D0-4530-A27F-AAA343B418F4}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9D2DB9"/>
    <w:multiLevelType w:val="singleLevel"/>
    <w:tmpl w:val="B79D2DB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MWRhZDU4ZWFiZmI5YmJmNjMwMjRmMjEwMjRkNTcifQ=="/>
  </w:docVars>
  <w:rsids>
    <w:rsidRoot w:val="000335DA"/>
    <w:rsid w:val="00023BCA"/>
    <w:rsid w:val="000335DA"/>
    <w:rsid w:val="00096AE0"/>
    <w:rsid w:val="002002CE"/>
    <w:rsid w:val="00206ADD"/>
    <w:rsid w:val="0021463C"/>
    <w:rsid w:val="002F3AA8"/>
    <w:rsid w:val="002F5DD4"/>
    <w:rsid w:val="00347B0A"/>
    <w:rsid w:val="003762AD"/>
    <w:rsid w:val="003A1F95"/>
    <w:rsid w:val="005E6279"/>
    <w:rsid w:val="00602AFE"/>
    <w:rsid w:val="0062590F"/>
    <w:rsid w:val="00696653"/>
    <w:rsid w:val="006D6AF1"/>
    <w:rsid w:val="00707A97"/>
    <w:rsid w:val="00713BF6"/>
    <w:rsid w:val="00742836"/>
    <w:rsid w:val="00825D32"/>
    <w:rsid w:val="008C369F"/>
    <w:rsid w:val="008C6C8F"/>
    <w:rsid w:val="008E4643"/>
    <w:rsid w:val="0098589C"/>
    <w:rsid w:val="009A2CBA"/>
    <w:rsid w:val="00A13815"/>
    <w:rsid w:val="00A73C72"/>
    <w:rsid w:val="00AA73CE"/>
    <w:rsid w:val="00AB550B"/>
    <w:rsid w:val="00AD3C39"/>
    <w:rsid w:val="00AF1525"/>
    <w:rsid w:val="00B056B2"/>
    <w:rsid w:val="00B36860"/>
    <w:rsid w:val="00B84989"/>
    <w:rsid w:val="00BD742F"/>
    <w:rsid w:val="00C70A46"/>
    <w:rsid w:val="00C722B3"/>
    <w:rsid w:val="00C7617C"/>
    <w:rsid w:val="00C94729"/>
    <w:rsid w:val="00CA222A"/>
    <w:rsid w:val="00CC53B5"/>
    <w:rsid w:val="00CC7A3C"/>
    <w:rsid w:val="00DF420A"/>
    <w:rsid w:val="00DF6F9B"/>
    <w:rsid w:val="00DF798E"/>
    <w:rsid w:val="00E71264"/>
    <w:rsid w:val="00E74C4C"/>
    <w:rsid w:val="00F36D79"/>
    <w:rsid w:val="0E38013F"/>
    <w:rsid w:val="110D3768"/>
    <w:rsid w:val="11566D84"/>
    <w:rsid w:val="133E74D7"/>
    <w:rsid w:val="17BF6E32"/>
    <w:rsid w:val="1EF1521A"/>
    <w:rsid w:val="1FAD4807"/>
    <w:rsid w:val="217C3B38"/>
    <w:rsid w:val="22390A5B"/>
    <w:rsid w:val="25D86403"/>
    <w:rsid w:val="26CE2C8A"/>
    <w:rsid w:val="27471C53"/>
    <w:rsid w:val="33523ED0"/>
    <w:rsid w:val="343B7B19"/>
    <w:rsid w:val="3AE36E90"/>
    <w:rsid w:val="3B7E27DA"/>
    <w:rsid w:val="42F04231"/>
    <w:rsid w:val="43866A63"/>
    <w:rsid w:val="46166B77"/>
    <w:rsid w:val="46457A3F"/>
    <w:rsid w:val="49E97F4F"/>
    <w:rsid w:val="4CC66F65"/>
    <w:rsid w:val="530B4EA7"/>
    <w:rsid w:val="63EA0E2F"/>
    <w:rsid w:val="64452786"/>
    <w:rsid w:val="68790A2A"/>
    <w:rsid w:val="6FE11FA1"/>
    <w:rsid w:val="70E52B41"/>
    <w:rsid w:val="74667541"/>
    <w:rsid w:val="793444A3"/>
    <w:rsid w:val="79BE4804"/>
    <w:rsid w:val="7E1F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00" w:afterAutospacing="1"/>
      <w:ind w:left="600"/>
    </w:pPr>
    <w:rPr>
      <w:rFonts w:ascii="Arial Unicode MS" w:hAnsi="Arial Unicode MS" w:eastAsia="Arial Unicode MS" w:cs="Arial Unicode MS"/>
      <w:sz w:val="24"/>
    </w:rPr>
  </w:style>
  <w:style w:type="paragraph" w:styleId="3">
    <w:name w:val="Balloon Text"/>
    <w:basedOn w:val="1"/>
    <w:link w:val="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0"/>
    <w:pPr>
      <w:spacing w:before="240" w:after="240"/>
      <w:jc w:val="center"/>
      <w:outlineLvl w:val="0"/>
    </w:pPr>
    <w:rPr>
      <w:rFonts w:asciiTheme="majorHAnsi" w:hAnsiTheme="majorHAnsi" w:cstheme="majorBidi"/>
      <w:b/>
      <w:bCs/>
      <w:sz w:val="48"/>
      <w:szCs w:val="32"/>
    </w:rPr>
  </w:style>
  <w:style w:type="character" w:customStyle="1" w:styleId="7">
    <w:name w:val="标题 字符"/>
    <w:basedOn w:val="6"/>
    <w:link w:val="4"/>
    <w:qFormat/>
    <w:uiPriority w:val="0"/>
    <w:rPr>
      <w:rFonts w:asciiTheme="majorHAnsi" w:hAnsiTheme="majorHAnsi" w:cstheme="majorBidi"/>
      <w:b/>
      <w:bCs/>
      <w:sz w:val="48"/>
      <w:szCs w:val="32"/>
    </w:rPr>
  </w:style>
  <w:style w:type="character" w:customStyle="1" w:styleId="8">
    <w:name w:val="批注框文本 字符"/>
    <w:basedOn w:val="6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638</Words>
  <Characters>790</Characters>
  <Lines>6</Lines>
  <Paragraphs>1</Paragraphs>
  <TotalTime>17</TotalTime>
  <ScaleCrop>false</ScaleCrop>
  <LinksUpToDate>false</LinksUpToDate>
  <CharactersWithSpaces>790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2021-08-04T01:28:00Z</dcterms:created>
  <dc:creator>admin</dc:creator>
  <cp:lastModifiedBy>张娜</cp:lastModifiedBy>
  <cp:lastPrinted>2024-08-06T07:25:00Z</cp:lastPrinted>
  <dcterms:modified xsi:type="dcterms:W3CDTF">2025-10-31T09:13:26Z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DEDA05B9FDE14388AFA3395B39FD191C_13</vt:lpwstr>
  </property>
  <property fmtid="{D5CDD505-2E9C-101B-9397-08002B2CF9AE}" pid="4" name="KSOTemplateDocerSaveRecord">
    <vt:lpwstr>eyJoZGlkIjoiZDI4MWRhZDU4ZWFiZmI5YmJmNjMwMjRmMjEwMjRkNTciLCJ1c2VySWQiOiI0NDg2OTg0MTkifQ==</vt:lpwstr>
  </property>
</Properties>
</file>