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line="700" w:lineRule="exact"/>
        <w:jc w:val="center"/>
        <w:rPr>
          <w:rFonts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b/>
          <w:bCs/>
          <w:sz w:val="44"/>
          <w:szCs w:val="44"/>
        </w:rPr>
        <w:t>济宁公用新能源供热有限公司</w:t>
      </w:r>
    </w:p>
    <w:p>
      <w:pPr>
        <w:pStyle w:val="3"/>
        <w:spacing w:line="700" w:lineRule="exact"/>
        <w:jc w:val="center"/>
        <w:rPr>
          <w:rFonts w:ascii="Times New Roman" w:hAnsi="Times New Roman" w:eastAsia="方正小标宋简体" w:cs="Times New Roman"/>
          <w:b/>
          <w:bCs/>
          <w:sz w:val="44"/>
          <w:szCs w:val="44"/>
          <w:lang w:val="en-US"/>
        </w:rPr>
      </w:pPr>
      <w:r>
        <w:rPr>
          <w:rFonts w:ascii="Times New Roman" w:hAnsi="Times New Roman" w:eastAsia="方正小标宋简体" w:cs="Times New Roman"/>
          <w:b/>
          <w:bCs/>
          <w:sz w:val="44"/>
          <w:szCs w:val="44"/>
          <w:lang w:val="en-US"/>
        </w:rPr>
        <w:t>202</w:t>
      </w:r>
      <w:r>
        <w:rPr>
          <w:rFonts w:hint="eastAsia" w:ascii="Times New Roman" w:hAnsi="Times New Roman" w:eastAsia="方正小标宋简体" w:cs="Times New Roman"/>
          <w:b/>
          <w:bCs/>
          <w:sz w:val="44"/>
          <w:szCs w:val="44"/>
          <w:lang w:val="en-US" w:eastAsia="zh-CN"/>
        </w:rPr>
        <w:t>5</w:t>
      </w:r>
      <w:r>
        <w:rPr>
          <w:rFonts w:ascii="Times New Roman" w:hAnsi="Times New Roman" w:eastAsia="方正小标宋简体" w:cs="Times New Roman"/>
          <w:b/>
          <w:bCs/>
          <w:sz w:val="44"/>
          <w:szCs w:val="44"/>
          <w:lang w:val="en-US"/>
        </w:rPr>
        <w:t>年</w:t>
      </w:r>
      <w:r>
        <w:rPr>
          <w:rFonts w:hint="eastAsia" w:ascii="Times New Roman" w:hAnsi="Times New Roman" w:eastAsia="方正小标宋简体" w:cs="Times New Roman"/>
          <w:b/>
          <w:bCs/>
          <w:sz w:val="44"/>
          <w:szCs w:val="44"/>
          <w:lang w:val="en-US" w:eastAsia="zh-CN"/>
        </w:rPr>
        <w:t>三</w:t>
      </w:r>
      <w:r>
        <w:rPr>
          <w:rFonts w:ascii="Times New Roman" w:hAnsi="Times New Roman" w:eastAsia="方正小标宋简体" w:cs="Times New Roman"/>
          <w:b/>
          <w:bCs/>
          <w:sz w:val="44"/>
          <w:szCs w:val="44"/>
          <w:lang w:val="en-US"/>
        </w:rPr>
        <w:t>季度财务等重大信息公</w:t>
      </w:r>
      <w:r>
        <w:rPr>
          <w:rFonts w:hint="eastAsia" w:ascii="Times New Roman" w:hAnsi="Times New Roman" w:eastAsia="方正小标宋简体" w:cs="Times New Roman"/>
          <w:b/>
          <w:bCs/>
          <w:sz w:val="44"/>
          <w:szCs w:val="44"/>
          <w:lang w:val="en-US"/>
        </w:rPr>
        <w:t>开</w:t>
      </w:r>
    </w:p>
    <w:p>
      <w:pPr>
        <w:pStyle w:val="3"/>
        <w:spacing w:line="700" w:lineRule="exact"/>
        <w:jc w:val="center"/>
        <w:rPr>
          <w:rFonts w:ascii="方正小标宋简体" w:hAnsi="方正小标宋简体" w:eastAsia="方正小标宋简体" w:cs="方正小标宋简体"/>
          <w:b/>
          <w:bCs/>
          <w:sz w:val="44"/>
          <w:szCs w:val="44"/>
          <w:lang w:val="en-US"/>
        </w:rPr>
      </w:pPr>
    </w:p>
    <w:p>
      <w:pPr>
        <w:pStyle w:val="3"/>
        <w:numPr>
          <w:ilvl w:val="0"/>
          <w:numId w:val="1"/>
        </w:numPr>
        <w:spacing w:line="580" w:lineRule="exact"/>
        <w:ind w:firstLine="643" w:firstLineChars="200"/>
        <w:jc w:val="both"/>
        <w:rPr>
          <w:rFonts w:ascii="方正黑体简体" w:hAnsi="方正黑体简体" w:eastAsia="方正黑体简体" w:cs="方正黑体简体"/>
          <w:b/>
          <w:bCs/>
          <w:lang w:val="en-US"/>
        </w:rPr>
      </w:pPr>
      <w:r>
        <w:rPr>
          <w:rFonts w:hint="eastAsia" w:ascii="方正黑体简体" w:hAnsi="方正黑体简体" w:eastAsia="方正黑体简体" w:cs="方正黑体简体"/>
          <w:b/>
          <w:bCs/>
          <w:lang w:val="en-US"/>
        </w:rPr>
        <w:t>公司基本情况</w:t>
      </w:r>
    </w:p>
    <w:p>
      <w:pPr>
        <w:pStyle w:val="3"/>
        <w:spacing w:line="580" w:lineRule="exact"/>
        <w:ind w:firstLine="643" w:firstLineChars="200"/>
        <w:jc w:val="both"/>
        <w:rPr>
          <w:rFonts w:ascii="方正楷体简体" w:hAnsi="方正楷体简体" w:eastAsia="方正楷体简体" w:cs="方正楷体简体"/>
          <w:b/>
          <w:bCs/>
          <w:lang w:val="en-US"/>
        </w:rPr>
      </w:pPr>
      <w:r>
        <w:rPr>
          <w:rFonts w:hint="eastAsia" w:ascii="方正楷体简体" w:hAnsi="方正楷体简体" w:eastAsia="方正楷体简体" w:cs="方正楷体简体"/>
          <w:b/>
          <w:bCs/>
          <w:lang w:val="en-US"/>
        </w:rPr>
        <w:t>（一）基本信息</w:t>
      </w:r>
    </w:p>
    <w:p>
      <w:pPr>
        <w:pStyle w:val="3"/>
        <w:spacing w:line="580" w:lineRule="exact"/>
        <w:ind w:firstLine="643" w:firstLineChars="200"/>
        <w:jc w:val="both"/>
        <w:rPr>
          <w:rFonts w:ascii="Times New Roman" w:hAnsi="Times New Roman" w:eastAsia="方正仿宋简体" w:cs="Times New Roman"/>
          <w:b/>
          <w:bCs/>
          <w:lang w:val="en-US"/>
        </w:rPr>
      </w:pPr>
      <w:r>
        <w:rPr>
          <w:rFonts w:ascii="Times New Roman" w:hAnsi="Times New Roman" w:eastAsia="方正仿宋简体" w:cs="Times New Roman"/>
          <w:b/>
          <w:bCs/>
          <w:lang w:val="en-US"/>
        </w:rPr>
        <w:t>1.名    称：</w:t>
      </w:r>
      <w:r>
        <w:rPr>
          <w:rFonts w:hint="eastAsia" w:ascii="Times New Roman" w:hAnsi="Times New Roman" w:eastAsia="方正仿宋简体" w:cs="Times New Roman"/>
          <w:b/>
          <w:bCs/>
          <w:lang w:val="en-US"/>
        </w:rPr>
        <w:t>济宁公用新能源供热有限公司</w:t>
      </w:r>
    </w:p>
    <w:p>
      <w:pPr>
        <w:pStyle w:val="3"/>
        <w:spacing w:line="580" w:lineRule="exact"/>
        <w:ind w:firstLine="643" w:firstLineChars="200"/>
        <w:jc w:val="both"/>
        <w:rPr>
          <w:rFonts w:ascii="Times New Roman" w:hAnsi="Times New Roman" w:eastAsia="方正仿宋简体" w:cs="Times New Roman"/>
          <w:b/>
          <w:bCs/>
          <w:lang w:val="en-US"/>
        </w:rPr>
      </w:pPr>
      <w:r>
        <w:rPr>
          <w:rFonts w:ascii="Times New Roman" w:hAnsi="Times New Roman" w:eastAsia="方正仿宋简体" w:cs="Times New Roman"/>
          <w:b/>
          <w:bCs/>
          <w:lang w:val="en-US"/>
        </w:rPr>
        <w:t>2.企业类型：</w:t>
      </w:r>
      <w:r>
        <w:rPr>
          <w:rFonts w:hint="eastAsia" w:ascii="Times New Roman" w:hAnsi="Times New Roman" w:eastAsia="方正仿宋简体" w:cs="Times New Roman"/>
          <w:b/>
          <w:bCs/>
          <w:lang w:val="en-US" w:eastAsia="zh-CN"/>
        </w:rPr>
        <w:t>其他责任有限公司</w:t>
      </w:r>
    </w:p>
    <w:p>
      <w:pPr>
        <w:pStyle w:val="3"/>
        <w:spacing w:line="580" w:lineRule="exact"/>
        <w:ind w:firstLine="643" w:firstLineChars="200"/>
        <w:jc w:val="both"/>
        <w:rPr>
          <w:rFonts w:ascii="Times New Roman" w:hAnsi="Times New Roman" w:eastAsia="方正仿宋简体" w:cs="Times New Roman"/>
          <w:b/>
          <w:bCs/>
          <w:lang w:val="en-US"/>
        </w:rPr>
      </w:pPr>
      <w:r>
        <w:rPr>
          <w:rFonts w:ascii="Times New Roman" w:hAnsi="Times New Roman" w:eastAsia="方正仿宋简体" w:cs="Times New Roman"/>
          <w:b/>
          <w:bCs/>
          <w:lang w:val="en-US"/>
        </w:rPr>
        <w:t>3.成立日期：</w:t>
      </w:r>
      <w:r>
        <w:rPr>
          <w:rFonts w:hint="eastAsia" w:ascii="Times New Roman" w:hAnsi="Times New Roman" w:eastAsia="方正仿宋简体" w:cs="Times New Roman"/>
          <w:b/>
          <w:bCs/>
          <w:lang w:val="en-US"/>
        </w:rPr>
        <w:t>2017年6月28日</w:t>
      </w:r>
    </w:p>
    <w:p>
      <w:pPr>
        <w:pStyle w:val="3"/>
        <w:spacing w:line="580" w:lineRule="exact"/>
        <w:ind w:firstLine="643" w:firstLineChars="200"/>
        <w:jc w:val="both"/>
        <w:rPr>
          <w:rFonts w:ascii="Times New Roman" w:hAnsi="Times New Roman" w:eastAsia="方正仿宋简体" w:cs="Times New Roman"/>
          <w:b/>
          <w:bCs/>
          <w:lang w:val="en-US"/>
        </w:rPr>
      </w:pPr>
      <w:r>
        <w:rPr>
          <w:rFonts w:ascii="Times New Roman" w:hAnsi="Times New Roman" w:eastAsia="方正仿宋简体" w:cs="Times New Roman"/>
          <w:b/>
          <w:bCs/>
          <w:lang w:val="en-US"/>
        </w:rPr>
        <w:t>4.法定代表人</w:t>
      </w:r>
      <w:r>
        <w:rPr>
          <w:rFonts w:hint="eastAsia" w:ascii="Times New Roman" w:hAnsi="Times New Roman" w:eastAsia="方正仿宋简体" w:cs="Times New Roman"/>
          <w:b/>
          <w:bCs/>
          <w:lang w:val="en-US"/>
        </w:rPr>
        <w:t>：朱军</w:t>
      </w:r>
    </w:p>
    <w:p>
      <w:pPr>
        <w:pStyle w:val="3"/>
        <w:spacing w:line="580" w:lineRule="exact"/>
        <w:ind w:firstLine="643" w:firstLineChars="200"/>
        <w:jc w:val="both"/>
        <w:rPr>
          <w:rFonts w:ascii="Times New Roman" w:hAnsi="Times New Roman" w:eastAsia="方正仿宋简体" w:cs="Times New Roman"/>
          <w:b/>
          <w:bCs/>
          <w:lang w:val="en-US"/>
        </w:rPr>
      </w:pPr>
      <w:r>
        <w:rPr>
          <w:rFonts w:ascii="Times New Roman" w:hAnsi="Times New Roman" w:eastAsia="方正仿宋简体" w:cs="Times New Roman"/>
          <w:b/>
          <w:bCs/>
          <w:lang w:val="en-US"/>
        </w:rPr>
        <w:t>5.注册地址：</w:t>
      </w:r>
      <w:r>
        <w:rPr>
          <w:rFonts w:hint="eastAsia" w:ascii="Times New Roman" w:hAnsi="Times New Roman" w:eastAsia="方正仿宋简体" w:cs="Times New Roman"/>
          <w:b/>
          <w:bCs/>
          <w:lang w:val="en-US"/>
        </w:rPr>
        <w:t>汶上县寅寺镇S333省道汶上西收费站西300米路南。</w:t>
      </w:r>
    </w:p>
    <w:p>
      <w:pPr>
        <w:pStyle w:val="3"/>
        <w:spacing w:line="580" w:lineRule="exact"/>
        <w:ind w:firstLine="643" w:firstLineChars="200"/>
        <w:jc w:val="both"/>
        <w:rPr>
          <w:rFonts w:ascii="Times New Roman" w:hAnsi="Times New Roman" w:eastAsia="方正仿宋简体" w:cs="Times New Roman"/>
          <w:b/>
          <w:bCs/>
          <w:lang w:val="en-US"/>
        </w:rPr>
      </w:pPr>
      <w:r>
        <w:rPr>
          <w:rFonts w:ascii="Times New Roman" w:hAnsi="Times New Roman" w:eastAsia="方正仿宋简体" w:cs="Times New Roman"/>
          <w:b/>
          <w:bCs/>
          <w:lang w:val="en-US"/>
        </w:rPr>
        <w:t>6.经营范围</w:t>
      </w:r>
      <w:r>
        <w:rPr>
          <w:rFonts w:hint="eastAsia" w:ascii="Times New Roman" w:hAnsi="Times New Roman" w:eastAsia="方正仿宋简体" w:cs="Times New Roman"/>
          <w:b/>
          <w:bCs/>
          <w:lang w:val="en-US"/>
        </w:rPr>
        <w:t>：新能源研发利用；集中供暖；热力工程设计、咨询及设备销售；合同能源管理。（依法须批准的项目，经相关部门批准后方可开展经营活动）</w:t>
      </w:r>
    </w:p>
    <w:p>
      <w:pPr>
        <w:pStyle w:val="3"/>
        <w:spacing w:line="580" w:lineRule="exact"/>
        <w:ind w:firstLine="643" w:firstLineChars="200"/>
        <w:jc w:val="both"/>
        <w:rPr>
          <w:rFonts w:ascii="方正楷体简体" w:hAnsi="方正楷体简体" w:eastAsia="方正楷体简体" w:cs="方正楷体简体"/>
          <w:b/>
          <w:bCs/>
          <w:lang w:val="en-US"/>
        </w:rPr>
      </w:pPr>
      <w:r>
        <w:rPr>
          <w:rFonts w:hint="eastAsia" w:ascii="方正楷体简体" w:hAnsi="方正楷体简体" w:eastAsia="方正楷体简体" w:cs="方正楷体简体"/>
          <w:b/>
          <w:bCs/>
          <w:lang w:val="en-US"/>
        </w:rPr>
        <w:t>（二）公司简介</w:t>
      </w:r>
    </w:p>
    <w:p>
      <w:pPr>
        <w:ind w:firstLine="643" w:firstLineChars="200"/>
        <w:rPr>
          <w:rFonts w:ascii="方正仿宋简体" w:hAnsi="仿宋_GB2312" w:eastAsia="方正仿宋简体" w:cs="仿宋_GB2312"/>
          <w:b/>
          <w:sz w:val="32"/>
          <w:szCs w:val="32"/>
        </w:rPr>
      </w:pPr>
      <w:r>
        <w:rPr>
          <w:rFonts w:hint="eastAsia" w:ascii="Times New Roman" w:hAnsi="方正仿宋简体" w:eastAsia="方正仿宋简体" w:cs="Times New Roman"/>
          <w:b/>
          <w:bCs/>
          <w:sz w:val="32"/>
          <w:szCs w:val="32"/>
        </w:rPr>
        <w:t>2020</w:t>
      </w:r>
      <w:r>
        <w:rPr>
          <w:rFonts w:hint="eastAsia" w:ascii="方正仿宋简体" w:hAnsi="仿宋_GB2312" w:eastAsia="方正仿宋简体" w:cs="仿宋_GB2312"/>
          <w:b/>
          <w:sz w:val="32"/>
          <w:szCs w:val="32"/>
        </w:rPr>
        <w:t>年</w:t>
      </w:r>
      <w:r>
        <w:rPr>
          <w:rFonts w:hint="eastAsia" w:ascii="Times New Roman" w:hAnsi="方正仿宋简体" w:eastAsia="方正仿宋简体" w:cs="Times New Roman"/>
          <w:b/>
          <w:bCs/>
          <w:sz w:val="32"/>
          <w:szCs w:val="32"/>
        </w:rPr>
        <w:t>5</w:t>
      </w:r>
      <w:r>
        <w:rPr>
          <w:rFonts w:hint="eastAsia" w:ascii="方正仿宋简体" w:hAnsi="仿宋_GB2312" w:eastAsia="方正仿宋简体" w:cs="仿宋_GB2312"/>
          <w:b/>
          <w:sz w:val="32"/>
          <w:szCs w:val="32"/>
        </w:rPr>
        <w:t>月</w:t>
      </w:r>
      <w:r>
        <w:rPr>
          <w:rFonts w:hint="eastAsia" w:ascii="Times New Roman" w:hAnsi="方正仿宋简体" w:eastAsia="方正仿宋简体" w:cs="Times New Roman"/>
          <w:b/>
          <w:bCs/>
          <w:sz w:val="32"/>
          <w:szCs w:val="32"/>
        </w:rPr>
        <w:t>，</w:t>
      </w:r>
      <w:r>
        <w:rPr>
          <w:rFonts w:hint="eastAsia" w:ascii="方正仿宋简体" w:hAnsi="仿宋_GB2312" w:eastAsia="方正仿宋简体" w:cs="仿宋_GB2312"/>
          <w:b/>
          <w:sz w:val="32"/>
          <w:szCs w:val="32"/>
        </w:rPr>
        <w:t>山东公用控股有限公司以业务为板块进行内部整合后新成立山东公用热电集团有限公司后，济宁公用新能源供热有限公司由山东公用热电集团有限公司与济宁矿业集团有限公司，合资成立的大型国有企业，是集新能源研发利用、集中供暖、热力工程设计咨询及设备销售、合同能源管理于一体的多元化公用企业，被授子向汶上县集中供热特许经营权。</w:t>
      </w:r>
    </w:p>
    <w:p>
      <w:pPr>
        <w:ind w:firstLine="643" w:firstLineChars="200"/>
        <w:rPr>
          <w:rFonts w:ascii="方正仿宋简体" w:hAnsi="仿宋_GB2312" w:eastAsia="方正仿宋简体" w:cs="仿宋_GB2312"/>
          <w:b/>
          <w:sz w:val="32"/>
          <w:szCs w:val="32"/>
        </w:rPr>
      </w:pPr>
      <w:r>
        <w:rPr>
          <w:rFonts w:hint="eastAsia" w:ascii="方正仿宋简体" w:hAnsi="仿宋_GB2312" w:eastAsia="方正仿宋简体" w:cs="仿宋_GB2312"/>
          <w:b/>
          <w:sz w:val="32"/>
          <w:szCs w:val="32"/>
        </w:rPr>
        <w:t>公司注册资本</w:t>
      </w:r>
      <w:r>
        <w:rPr>
          <w:rFonts w:hint="eastAsia" w:ascii="Times New Roman" w:hAnsi="方正仿宋简体" w:eastAsia="方正仿宋简体" w:cs="Times New Roman"/>
          <w:b/>
          <w:bCs/>
          <w:sz w:val="32"/>
          <w:szCs w:val="32"/>
        </w:rPr>
        <w:t>8000</w:t>
      </w:r>
      <w:r>
        <w:rPr>
          <w:rFonts w:hint="eastAsia" w:ascii="方正仿宋简体" w:hAnsi="仿宋_GB2312" w:eastAsia="方正仿宋简体" w:cs="仿宋_GB2312"/>
          <w:b/>
          <w:sz w:val="32"/>
          <w:szCs w:val="32"/>
        </w:rPr>
        <w:t>万元。承担着汶上县</w:t>
      </w:r>
      <w:r>
        <w:rPr>
          <w:rFonts w:hint="eastAsia" w:ascii="Times New Roman" w:hAnsi="方正仿宋简体" w:eastAsia="方正仿宋简体" w:cs="Times New Roman"/>
          <w:b/>
          <w:bCs/>
          <w:sz w:val="32"/>
          <w:szCs w:val="32"/>
        </w:rPr>
        <w:t>1200</w:t>
      </w:r>
      <w:r>
        <w:rPr>
          <w:rFonts w:hint="eastAsia" w:ascii="方正仿宋简体" w:hAnsi="仿宋_GB2312" w:eastAsia="方正仿宋简体" w:cs="仿宋_GB2312"/>
          <w:b/>
          <w:sz w:val="32"/>
          <w:szCs w:val="32"/>
        </w:rPr>
        <w:t>万平方米的供热规划。根据公司发展规划，建设阳城电厂到汶上城区集中供热项目资产</w:t>
      </w:r>
      <w:r>
        <w:rPr>
          <w:rFonts w:hint="eastAsia" w:ascii="Times New Roman" w:hAnsi="方正仿宋简体" w:eastAsia="方正仿宋简体" w:cs="Times New Roman"/>
          <w:b/>
          <w:bCs/>
          <w:sz w:val="32"/>
          <w:szCs w:val="32"/>
        </w:rPr>
        <w:t>2.5</w:t>
      </w:r>
      <w:r>
        <w:rPr>
          <w:rFonts w:hint="eastAsia" w:ascii="方正仿宋简体" w:hAnsi="仿宋_GB2312" w:eastAsia="方正仿宋简体" w:cs="仿宋_GB2312"/>
          <w:b/>
          <w:sz w:val="32"/>
          <w:szCs w:val="32"/>
        </w:rPr>
        <w:t>亿元，建设的</w:t>
      </w:r>
      <w:r>
        <w:rPr>
          <w:rFonts w:hint="eastAsia" w:ascii="Times New Roman" w:hAnsi="方正仿宋简体" w:eastAsia="方正仿宋简体" w:cs="Times New Roman"/>
          <w:b/>
          <w:bCs/>
          <w:sz w:val="32"/>
          <w:szCs w:val="32"/>
        </w:rPr>
        <w:t>DN1020</w:t>
      </w:r>
      <w:r>
        <w:rPr>
          <w:rFonts w:hint="eastAsia" w:ascii="方正仿宋简体" w:hAnsi="仿宋_GB2312" w:eastAsia="方正仿宋简体" w:cs="仿宋_GB2312"/>
          <w:b/>
          <w:sz w:val="32"/>
          <w:szCs w:val="32"/>
        </w:rPr>
        <w:t>高温水管网单向</w:t>
      </w:r>
      <w:r>
        <w:rPr>
          <w:rFonts w:hint="eastAsia" w:ascii="Times New Roman" w:hAnsi="方正仿宋简体" w:eastAsia="方正仿宋简体" w:cs="Times New Roman"/>
          <w:b/>
          <w:bCs/>
          <w:sz w:val="32"/>
          <w:szCs w:val="32"/>
        </w:rPr>
        <w:t>26</w:t>
      </w:r>
      <w:r>
        <w:rPr>
          <w:rFonts w:hint="eastAsia" w:ascii="方正仿宋简体" w:hAnsi="仿宋_GB2312" w:eastAsia="方正仿宋简体" w:cs="仿宋_GB2312"/>
          <w:b/>
          <w:sz w:val="32"/>
          <w:szCs w:val="32"/>
        </w:rPr>
        <w:t>公里，实施集中供热。该项目不仅顺应新形势下国家环保要求，充分利用清洁能源，而且有效降低现行供热运营成本，同时满足汶上县城区及管网沿途乡镇后续新增供热需求。项目运营后，每年可减少汶上县标准煤</w:t>
      </w:r>
      <w:r>
        <w:rPr>
          <w:rFonts w:hint="eastAsia" w:ascii="Times New Roman" w:hAnsi="方正仿宋简体" w:eastAsia="方正仿宋简体" w:cs="Times New Roman"/>
          <w:b/>
          <w:bCs/>
          <w:sz w:val="32"/>
          <w:szCs w:val="32"/>
        </w:rPr>
        <w:t>10</w:t>
      </w:r>
      <w:r>
        <w:rPr>
          <w:rFonts w:hint="eastAsia" w:ascii="方正仿宋简体" w:hAnsi="仿宋_GB2312" w:eastAsia="方正仿宋简体" w:cs="仿宋_GB2312"/>
          <w:b/>
          <w:sz w:val="32"/>
          <w:szCs w:val="32"/>
        </w:rPr>
        <w:t>万吨使用量，分别减少二氧化碳排放量</w:t>
      </w:r>
      <w:r>
        <w:rPr>
          <w:rFonts w:hint="eastAsia" w:ascii="Times New Roman" w:hAnsi="方正仿宋简体" w:eastAsia="方正仿宋简体" w:cs="Times New Roman"/>
          <w:b/>
          <w:bCs/>
          <w:sz w:val="32"/>
          <w:szCs w:val="32"/>
        </w:rPr>
        <w:t>26．6</w:t>
      </w:r>
      <w:r>
        <w:rPr>
          <w:rFonts w:hint="eastAsia" w:ascii="方正仿宋简体" w:hAnsi="仿宋_GB2312" w:eastAsia="方正仿宋简体" w:cs="仿宋_GB2312"/>
          <w:b/>
          <w:sz w:val="32"/>
          <w:szCs w:val="32"/>
        </w:rPr>
        <w:t>万吨、二氧化硫</w:t>
      </w:r>
      <w:r>
        <w:rPr>
          <w:rFonts w:hint="eastAsia" w:ascii="Times New Roman" w:hAnsi="方正仿宋简体" w:eastAsia="方正仿宋简体" w:cs="Times New Roman"/>
          <w:b/>
          <w:bCs/>
          <w:sz w:val="32"/>
          <w:szCs w:val="32"/>
        </w:rPr>
        <w:t>850</w:t>
      </w:r>
      <w:r>
        <w:rPr>
          <w:rFonts w:hint="eastAsia" w:ascii="方正仿宋简体" w:hAnsi="仿宋_GB2312" w:eastAsia="方正仿宋简体" w:cs="仿宋_GB2312"/>
          <w:b/>
          <w:sz w:val="32"/>
          <w:szCs w:val="32"/>
        </w:rPr>
        <w:t>吨、氮氧化物</w:t>
      </w:r>
      <w:r>
        <w:rPr>
          <w:rFonts w:hint="eastAsia" w:ascii="Times New Roman" w:hAnsi="方正仿宋简体" w:eastAsia="方正仿宋简体" w:cs="Times New Roman"/>
          <w:b/>
          <w:bCs/>
          <w:sz w:val="32"/>
          <w:szCs w:val="32"/>
        </w:rPr>
        <w:t>740</w:t>
      </w:r>
      <w:r>
        <w:rPr>
          <w:rFonts w:hint="eastAsia" w:ascii="方正仿宋简体" w:hAnsi="仿宋_GB2312" w:eastAsia="方正仿宋简体" w:cs="仿宋_GB2312"/>
          <w:b/>
          <w:sz w:val="32"/>
          <w:szCs w:val="32"/>
        </w:rPr>
        <w:t>吨，大大缓解了大气污染防治压力。</w:t>
      </w:r>
    </w:p>
    <w:p>
      <w:pPr>
        <w:pStyle w:val="3"/>
        <w:spacing w:line="580" w:lineRule="exact"/>
        <w:ind w:firstLine="643" w:firstLineChars="200"/>
        <w:jc w:val="both"/>
        <w:rPr>
          <w:rFonts w:ascii="方正黑体简体" w:hAnsi="方正黑体简体" w:eastAsia="方正黑体简体" w:cs="方正黑体简体"/>
          <w:b/>
          <w:bCs/>
          <w:lang w:val="en-US"/>
        </w:rPr>
      </w:pPr>
      <w:r>
        <w:rPr>
          <w:rFonts w:hint="eastAsia" w:ascii="方正黑体简体" w:hAnsi="方正黑体简体" w:eastAsia="方正黑体简体" w:cs="方正黑体简体"/>
          <w:b/>
          <w:bCs/>
          <w:lang w:val="en-US"/>
        </w:rPr>
        <w:t>二、主要会计数据和财务指标</w:t>
      </w:r>
    </w:p>
    <w:p>
      <w:pPr>
        <w:pStyle w:val="3"/>
        <w:spacing w:line="580" w:lineRule="exact"/>
        <w:jc w:val="center"/>
        <w:rPr>
          <w:rFonts w:ascii="方正黑体简体" w:hAnsi="方正黑体简体" w:eastAsia="方正黑体简体" w:cs="方正黑体简体"/>
          <w:b/>
          <w:bCs/>
          <w:lang w:val="en-US"/>
        </w:rPr>
      </w:pPr>
      <w:r>
        <w:rPr>
          <w:rFonts w:ascii="Times New Roman" w:hAnsi="Times New Roman" w:eastAsia="方正黑体简体" w:cs="Times New Roman"/>
          <w:b/>
          <w:bCs/>
          <w:lang w:val="en-US"/>
        </w:rPr>
        <w:t>202</w:t>
      </w:r>
      <w:r>
        <w:rPr>
          <w:rFonts w:hint="eastAsia" w:ascii="Times New Roman" w:hAnsi="Times New Roman" w:eastAsia="方正黑体简体" w:cs="Times New Roman"/>
          <w:b/>
          <w:bCs/>
          <w:lang w:val="en-US" w:eastAsia="zh-CN"/>
        </w:rPr>
        <w:t>5</w:t>
      </w:r>
      <w:r>
        <w:rPr>
          <w:rFonts w:ascii="Times New Roman" w:hAnsi="Times New Roman" w:eastAsia="方正黑体简体" w:cs="Times New Roman"/>
          <w:b/>
          <w:bCs/>
          <w:lang w:val="en-US"/>
        </w:rPr>
        <w:t>年</w:t>
      </w:r>
      <w:r>
        <w:rPr>
          <w:rFonts w:hint="eastAsia" w:ascii="Times New Roman" w:hAnsi="Times New Roman" w:eastAsia="方正黑体简体" w:cs="Times New Roman"/>
          <w:b/>
          <w:bCs/>
          <w:lang w:val="en-US" w:eastAsia="zh-CN"/>
        </w:rPr>
        <w:t>三</w:t>
      </w:r>
      <w:r>
        <w:rPr>
          <w:rFonts w:hint="eastAsia" w:ascii="Times New Roman" w:hAnsi="Times New Roman" w:eastAsia="方正黑体简体" w:cs="Times New Roman"/>
          <w:b/>
          <w:bCs/>
          <w:lang w:val="en-US"/>
        </w:rPr>
        <w:t>季度</w:t>
      </w:r>
      <w:r>
        <w:rPr>
          <w:rFonts w:ascii="Times New Roman" w:hAnsi="Times New Roman" w:eastAsia="方正黑体简体" w:cs="Times New Roman"/>
          <w:b/>
          <w:bCs/>
          <w:lang w:val="en-US"/>
        </w:rPr>
        <w:t>主要财务数据</w:t>
      </w:r>
    </w:p>
    <w:p>
      <w:pPr>
        <w:pStyle w:val="3"/>
        <w:spacing w:line="600" w:lineRule="exact"/>
        <w:ind w:firstLine="6023" w:firstLineChars="2000"/>
        <w:jc w:val="both"/>
        <w:rPr>
          <w:rFonts w:ascii="方正楷体简体" w:hAnsi="方正楷体简体" w:eastAsia="方正楷体简体" w:cs="方正楷体简体"/>
          <w:b/>
          <w:bCs/>
          <w:sz w:val="30"/>
          <w:szCs w:val="30"/>
          <w:lang w:val="en-US"/>
        </w:rPr>
      </w:pPr>
      <w:r>
        <w:rPr>
          <w:rFonts w:hint="eastAsia" w:ascii="方正楷体简体" w:hAnsi="方正楷体简体" w:eastAsia="方正楷体简体" w:cs="方正楷体简体"/>
          <w:b/>
          <w:bCs/>
          <w:sz w:val="30"/>
          <w:szCs w:val="30"/>
          <w:lang w:val="en-US"/>
        </w:rPr>
        <w:t>单位：人民币万元</w:t>
      </w:r>
    </w:p>
    <w:tbl>
      <w:tblPr>
        <w:tblStyle w:val="7"/>
        <w:tblW w:w="8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66"/>
        <w:gridCol w:w="39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4066" w:type="dxa"/>
          </w:tcPr>
          <w:p>
            <w:pPr>
              <w:pStyle w:val="3"/>
              <w:spacing w:line="600" w:lineRule="exact"/>
              <w:jc w:val="center"/>
              <w:rPr>
                <w:rFonts w:ascii="方正黑体简体" w:hAnsi="方正黑体简体" w:eastAsia="方正黑体简体" w:cs="方正黑体简体"/>
                <w:b/>
                <w:bCs/>
                <w:lang w:val="en-US"/>
              </w:rPr>
            </w:pPr>
            <w:r>
              <w:rPr>
                <w:rFonts w:hint="eastAsia" w:ascii="方正黑体简体" w:hAnsi="方正黑体简体" w:eastAsia="方正黑体简体" w:cs="方正黑体简体"/>
                <w:b/>
                <w:bCs/>
                <w:lang w:val="en-US"/>
              </w:rPr>
              <w:t>项  目</w:t>
            </w:r>
          </w:p>
        </w:tc>
        <w:tc>
          <w:tcPr>
            <w:tcW w:w="3994" w:type="dxa"/>
          </w:tcPr>
          <w:p>
            <w:pPr>
              <w:pStyle w:val="3"/>
              <w:spacing w:line="600" w:lineRule="exact"/>
              <w:jc w:val="center"/>
              <w:rPr>
                <w:rFonts w:ascii="方正黑体简体" w:hAnsi="方正黑体简体" w:eastAsia="方正黑体简体" w:cs="方正黑体简体"/>
                <w:b/>
                <w:bCs/>
                <w:lang w:val="en-US"/>
              </w:rPr>
            </w:pPr>
            <w:r>
              <w:rPr>
                <w:rFonts w:hint="eastAsia" w:ascii="方正黑体简体" w:hAnsi="方正黑体简体" w:eastAsia="方正黑体简体" w:cs="方正黑体简体"/>
                <w:b/>
                <w:bCs/>
                <w:lang w:val="en-US"/>
              </w:rPr>
              <w:t>本期金额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4066" w:type="dxa"/>
          </w:tcPr>
          <w:p>
            <w:pPr>
              <w:pStyle w:val="3"/>
              <w:spacing w:line="600" w:lineRule="exact"/>
              <w:jc w:val="center"/>
              <w:rPr>
                <w:rFonts w:ascii="Times New Roman" w:hAnsi="Times New Roman" w:eastAsia="方正仿宋简体" w:cs="Times New Roman"/>
                <w:b/>
                <w:bCs/>
                <w:lang w:val="en-US"/>
              </w:rPr>
            </w:pPr>
            <w:r>
              <w:rPr>
                <w:rFonts w:ascii="Times New Roman" w:hAnsi="Times New Roman" w:eastAsia="方正仿宋简体" w:cs="Times New Roman"/>
                <w:b/>
                <w:bCs/>
                <w:lang w:val="en-US"/>
              </w:rPr>
              <w:t>营业总收入</w:t>
            </w:r>
          </w:p>
        </w:tc>
        <w:tc>
          <w:tcPr>
            <w:tcW w:w="3994" w:type="dxa"/>
          </w:tcPr>
          <w:p>
            <w:pPr>
              <w:pStyle w:val="3"/>
              <w:spacing w:line="600" w:lineRule="exact"/>
              <w:jc w:val="center"/>
              <w:rPr>
                <w:rFonts w:hint="default" w:ascii="Times New Roman" w:hAnsi="Times New Roman" w:eastAsia="方正仿宋简体" w:cs="Times New Roman"/>
                <w:b/>
                <w:bCs/>
                <w:lang w:val="en-US" w:eastAsia="zh-CN"/>
              </w:rPr>
            </w:pPr>
            <w:r>
              <w:rPr>
                <w:rFonts w:hint="eastAsia" w:ascii="Times New Roman" w:hAnsi="Times New Roman" w:eastAsia="方正仿宋简体" w:cs="Times New Roman"/>
                <w:b/>
                <w:bCs/>
                <w:lang w:val="en-US" w:eastAsia="zh-CN"/>
              </w:rPr>
              <w:t>6761.10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7" w:hRule="atLeast"/>
          <w:jc w:val="center"/>
        </w:trPr>
        <w:tc>
          <w:tcPr>
            <w:tcW w:w="4066" w:type="dxa"/>
          </w:tcPr>
          <w:p>
            <w:pPr>
              <w:pStyle w:val="3"/>
              <w:spacing w:line="600" w:lineRule="exact"/>
              <w:jc w:val="center"/>
              <w:rPr>
                <w:rFonts w:ascii="Times New Roman" w:hAnsi="Times New Roman" w:eastAsia="方正仿宋简体" w:cs="Times New Roman"/>
                <w:b/>
                <w:bCs/>
                <w:lang w:val="en-US"/>
              </w:rPr>
            </w:pPr>
            <w:r>
              <w:rPr>
                <w:rFonts w:ascii="Times New Roman" w:hAnsi="Times New Roman" w:eastAsia="方正仿宋简体" w:cs="Times New Roman"/>
                <w:b/>
                <w:bCs/>
                <w:lang w:val="en-US"/>
              </w:rPr>
              <w:t>营业总成本</w:t>
            </w:r>
          </w:p>
        </w:tc>
        <w:tc>
          <w:tcPr>
            <w:tcW w:w="3994" w:type="dxa"/>
          </w:tcPr>
          <w:p>
            <w:pPr>
              <w:pStyle w:val="3"/>
              <w:spacing w:line="600" w:lineRule="exact"/>
              <w:jc w:val="center"/>
              <w:rPr>
                <w:rFonts w:hint="default" w:ascii="Times New Roman" w:hAnsi="Times New Roman" w:eastAsia="方正仿宋简体" w:cs="Times New Roman"/>
                <w:b/>
                <w:bCs/>
                <w:lang w:val="en-US" w:eastAsia="zh-CN"/>
              </w:rPr>
            </w:pPr>
            <w:r>
              <w:rPr>
                <w:rFonts w:hint="eastAsia" w:ascii="Times New Roman" w:hAnsi="Times New Roman" w:eastAsia="方正仿宋简体" w:cs="Times New Roman"/>
                <w:b/>
                <w:bCs/>
                <w:lang w:val="en-US" w:eastAsia="zh-CN"/>
              </w:rPr>
              <w:t>6830.82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4066" w:type="dxa"/>
          </w:tcPr>
          <w:p>
            <w:pPr>
              <w:pStyle w:val="3"/>
              <w:spacing w:line="600" w:lineRule="exact"/>
              <w:jc w:val="center"/>
              <w:rPr>
                <w:rFonts w:ascii="Times New Roman" w:hAnsi="Times New Roman" w:eastAsia="方正仿宋简体" w:cs="Times New Roman"/>
                <w:b/>
                <w:bCs/>
                <w:lang w:val="en-US"/>
              </w:rPr>
            </w:pPr>
            <w:r>
              <w:rPr>
                <w:rFonts w:ascii="Times New Roman" w:hAnsi="Times New Roman" w:eastAsia="方正仿宋简体" w:cs="Times New Roman"/>
                <w:b/>
                <w:bCs/>
                <w:lang w:val="en-US"/>
              </w:rPr>
              <w:t>利润总额</w:t>
            </w:r>
          </w:p>
        </w:tc>
        <w:tc>
          <w:tcPr>
            <w:tcW w:w="3994" w:type="dxa"/>
          </w:tcPr>
          <w:p>
            <w:pPr>
              <w:pStyle w:val="3"/>
              <w:spacing w:line="600" w:lineRule="exact"/>
              <w:jc w:val="center"/>
              <w:rPr>
                <w:rFonts w:hint="default" w:ascii="Times New Roman" w:hAnsi="Times New Roman" w:eastAsia="方正仿宋简体" w:cs="Times New Roman"/>
                <w:b/>
                <w:bCs/>
                <w:lang w:val="en-US" w:eastAsia="zh-CN"/>
              </w:rPr>
            </w:pPr>
            <w:r>
              <w:rPr>
                <w:rFonts w:hint="eastAsia" w:ascii="Times New Roman" w:hAnsi="Times New Roman" w:eastAsia="方正仿宋简体" w:cs="Times New Roman"/>
                <w:b/>
                <w:bCs/>
                <w:lang w:val="en-US" w:eastAsia="zh-CN"/>
              </w:rPr>
              <w:t>191.10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4066" w:type="dxa"/>
          </w:tcPr>
          <w:p>
            <w:pPr>
              <w:pStyle w:val="3"/>
              <w:spacing w:line="600" w:lineRule="exact"/>
              <w:jc w:val="center"/>
              <w:rPr>
                <w:rFonts w:ascii="方正黑体简体" w:hAnsi="方正黑体简体" w:eastAsia="方正黑体简体" w:cs="方正黑体简体"/>
                <w:b/>
                <w:bCs/>
                <w:lang w:val="en-US"/>
              </w:rPr>
            </w:pPr>
            <w:r>
              <w:rPr>
                <w:rFonts w:hint="eastAsia" w:ascii="Times New Roman" w:hAnsi="Times New Roman" w:eastAsia="方正仿宋简体" w:cs="Times New Roman"/>
                <w:b/>
                <w:bCs/>
                <w:lang w:val="en-US"/>
              </w:rPr>
              <w:t>净利润</w:t>
            </w:r>
          </w:p>
        </w:tc>
        <w:tc>
          <w:tcPr>
            <w:tcW w:w="3994" w:type="dxa"/>
          </w:tcPr>
          <w:p>
            <w:pPr>
              <w:pStyle w:val="3"/>
              <w:spacing w:line="600" w:lineRule="exact"/>
              <w:jc w:val="center"/>
              <w:rPr>
                <w:rFonts w:hint="default" w:ascii="Times New Roman" w:hAnsi="Times New Roman" w:eastAsia="方正仿宋简体" w:cs="Times New Roman"/>
                <w:b/>
                <w:bCs/>
                <w:lang w:val="en-US" w:eastAsia="zh-CN"/>
              </w:rPr>
            </w:pPr>
            <w:r>
              <w:rPr>
                <w:rFonts w:hint="eastAsia" w:ascii="Times New Roman" w:hAnsi="Times New Roman" w:eastAsia="方正仿宋简体" w:cs="Times New Roman"/>
                <w:b/>
                <w:bCs/>
                <w:lang w:val="en-US" w:eastAsia="zh-CN"/>
              </w:rPr>
              <w:t>103.28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4066" w:type="dxa"/>
          </w:tcPr>
          <w:p>
            <w:pPr>
              <w:pStyle w:val="3"/>
              <w:spacing w:line="600" w:lineRule="exact"/>
              <w:jc w:val="center"/>
              <w:rPr>
                <w:rFonts w:ascii="Times New Roman" w:hAnsi="Times New Roman" w:eastAsia="方正仿宋简体" w:cs="Times New Roman"/>
                <w:b/>
                <w:bCs/>
                <w:lang w:val="en-US"/>
              </w:rPr>
            </w:pPr>
            <w:r>
              <w:rPr>
                <w:rFonts w:ascii="Times New Roman" w:hAnsi="Times New Roman" w:eastAsia="方正仿宋简体" w:cs="Times New Roman"/>
                <w:b/>
                <w:bCs/>
                <w:color w:val="000000"/>
                <w:lang w:val="en-US" w:bidi="ar-SA"/>
              </w:rPr>
              <w:t>资产总额</w:t>
            </w:r>
          </w:p>
        </w:tc>
        <w:tc>
          <w:tcPr>
            <w:tcW w:w="3994" w:type="dxa"/>
          </w:tcPr>
          <w:p>
            <w:pPr>
              <w:pStyle w:val="3"/>
              <w:spacing w:line="600" w:lineRule="exact"/>
              <w:jc w:val="center"/>
              <w:rPr>
                <w:rFonts w:hint="default" w:ascii="Times New Roman" w:hAnsi="Times New Roman" w:eastAsia="方正仿宋简体" w:cs="Times New Roman"/>
                <w:b/>
                <w:bCs/>
                <w:lang w:val="en-US" w:eastAsia="zh-CN"/>
              </w:rPr>
            </w:pPr>
            <w:r>
              <w:rPr>
                <w:rFonts w:hint="eastAsia" w:ascii="Times New Roman" w:hAnsi="Times New Roman" w:eastAsia="方正仿宋简体" w:cs="Times New Roman"/>
                <w:b/>
                <w:bCs/>
                <w:lang w:val="en-US" w:eastAsia="zh-CN"/>
              </w:rPr>
              <w:t>24062.62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4066" w:type="dxa"/>
          </w:tcPr>
          <w:p>
            <w:pPr>
              <w:pStyle w:val="3"/>
              <w:spacing w:line="600" w:lineRule="exact"/>
              <w:jc w:val="center"/>
              <w:rPr>
                <w:rFonts w:ascii="Times New Roman" w:hAnsi="Times New Roman" w:eastAsia="方正仿宋简体" w:cs="Times New Roman"/>
                <w:b/>
                <w:bCs/>
                <w:color w:val="000000"/>
                <w:lang w:val="en-US" w:bidi="ar-SA"/>
              </w:rPr>
            </w:pPr>
            <w:r>
              <w:rPr>
                <w:rFonts w:ascii="Times New Roman" w:hAnsi="Times New Roman" w:eastAsia="方正仿宋简体" w:cs="Times New Roman"/>
                <w:b/>
                <w:bCs/>
                <w:color w:val="000000"/>
                <w:lang w:val="en-US" w:bidi="ar-SA"/>
              </w:rPr>
              <w:t>负债总额</w:t>
            </w:r>
          </w:p>
        </w:tc>
        <w:tc>
          <w:tcPr>
            <w:tcW w:w="3994" w:type="dxa"/>
          </w:tcPr>
          <w:p>
            <w:pPr>
              <w:pStyle w:val="3"/>
              <w:spacing w:line="600" w:lineRule="exact"/>
              <w:jc w:val="center"/>
              <w:rPr>
                <w:rFonts w:hint="default" w:ascii="Times New Roman" w:hAnsi="Times New Roman" w:eastAsia="方正仿宋简体" w:cs="Times New Roman"/>
                <w:b/>
                <w:bCs/>
                <w:color w:val="000000"/>
                <w:lang w:val="en-US" w:eastAsia="zh-CN" w:bidi="ar-SA"/>
              </w:rPr>
            </w:pPr>
            <w:r>
              <w:rPr>
                <w:rFonts w:hint="eastAsia" w:ascii="Times New Roman" w:hAnsi="Times New Roman" w:eastAsia="方正仿宋简体" w:cs="Times New Roman"/>
                <w:b/>
                <w:bCs/>
                <w:color w:val="000000"/>
                <w:lang w:val="en-US" w:eastAsia="zh-CN" w:bidi="ar-SA"/>
              </w:rPr>
              <w:t>13429.74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4066" w:type="dxa"/>
          </w:tcPr>
          <w:p>
            <w:pPr>
              <w:pStyle w:val="3"/>
              <w:spacing w:line="600" w:lineRule="exact"/>
              <w:jc w:val="center"/>
              <w:rPr>
                <w:rFonts w:ascii="Times New Roman" w:hAnsi="Times New Roman" w:eastAsia="方正仿宋简体" w:cs="Times New Roman"/>
                <w:b/>
                <w:bCs/>
                <w:color w:val="000000"/>
                <w:lang w:val="en-US" w:bidi="ar-SA"/>
              </w:rPr>
            </w:pPr>
            <w:r>
              <w:rPr>
                <w:rFonts w:ascii="Times New Roman" w:hAnsi="Times New Roman" w:eastAsia="方正仿宋简体" w:cs="Times New Roman"/>
                <w:b/>
                <w:bCs/>
                <w:color w:val="000000"/>
                <w:lang w:val="en-US" w:bidi="ar-SA"/>
              </w:rPr>
              <w:t>所有者权益</w:t>
            </w:r>
          </w:p>
        </w:tc>
        <w:tc>
          <w:tcPr>
            <w:tcW w:w="3994" w:type="dxa"/>
          </w:tcPr>
          <w:p>
            <w:pPr>
              <w:pStyle w:val="3"/>
              <w:spacing w:line="600" w:lineRule="exact"/>
              <w:jc w:val="center"/>
              <w:rPr>
                <w:rFonts w:hint="default" w:ascii="Times New Roman" w:hAnsi="Times New Roman" w:eastAsia="方正仿宋简体" w:cs="Times New Roman"/>
                <w:b/>
                <w:bCs/>
                <w:color w:val="000000"/>
                <w:lang w:val="en-US" w:eastAsia="zh-CN" w:bidi="ar-SA"/>
              </w:rPr>
            </w:pPr>
            <w:r>
              <w:rPr>
                <w:rFonts w:hint="eastAsia" w:ascii="Times New Roman" w:hAnsi="Times New Roman" w:eastAsia="方正仿宋简体" w:cs="Times New Roman"/>
                <w:b/>
                <w:bCs/>
                <w:color w:val="000000"/>
                <w:lang w:val="en-US" w:eastAsia="zh-CN" w:bidi="ar-SA"/>
              </w:rPr>
              <w:t>10632.88</w:t>
            </w:r>
          </w:p>
        </w:tc>
      </w:tr>
    </w:tbl>
    <w:p>
      <w:pPr>
        <w:spacing w:line="200" w:lineRule="exact"/>
        <w:ind w:left="641"/>
        <w:rPr>
          <w:rFonts w:ascii="方正黑体简体" w:hAnsi="方正黑体简体" w:eastAsia="方正黑体简体" w:cs="方正黑体简体"/>
          <w:b/>
          <w:sz w:val="32"/>
          <w:szCs w:val="32"/>
          <w:lang w:val="en-US"/>
        </w:rPr>
      </w:pPr>
    </w:p>
    <w:p>
      <w:pPr>
        <w:spacing w:line="580" w:lineRule="exact"/>
        <w:ind w:left="640"/>
        <w:rPr>
          <w:rFonts w:ascii="方正黑体简体" w:hAnsi="方正黑体简体" w:eastAsia="方正黑体简体" w:cs="方正黑体简体"/>
          <w:b/>
          <w:sz w:val="32"/>
          <w:szCs w:val="32"/>
          <w:lang w:val="en-US"/>
        </w:rPr>
      </w:pPr>
      <w:r>
        <w:rPr>
          <w:rFonts w:hint="eastAsia" w:ascii="方正黑体简体" w:hAnsi="方正黑体简体" w:eastAsia="方正黑体简体" w:cs="方正黑体简体"/>
          <w:b/>
          <w:sz w:val="32"/>
          <w:szCs w:val="32"/>
          <w:lang w:val="en-US"/>
        </w:rPr>
        <w:t>三、</w:t>
      </w:r>
      <w:r>
        <w:rPr>
          <w:rFonts w:hint="eastAsia" w:ascii="方正黑体简体" w:hAnsi="方正黑体简体" w:eastAsia="方正黑体简体" w:cs="方正黑体简体"/>
          <w:b/>
          <w:sz w:val="32"/>
          <w:szCs w:val="32"/>
        </w:rPr>
        <w:t>财务预算执行情况</w:t>
      </w:r>
      <w:r>
        <w:rPr>
          <w:rFonts w:hint="eastAsia" w:ascii="方正黑体简体" w:hAnsi="方正黑体简体" w:eastAsia="方正黑体简体" w:cs="方正黑体简体"/>
          <w:b/>
          <w:sz w:val="32"/>
          <w:szCs w:val="32"/>
          <w:lang w:val="en-US"/>
        </w:rPr>
        <w:t xml:space="preserve">   </w:t>
      </w:r>
    </w:p>
    <w:p>
      <w:pPr>
        <w:spacing w:line="580" w:lineRule="exact"/>
        <w:ind w:firstLine="643" w:firstLineChars="200"/>
        <w:rPr>
          <w:rFonts w:ascii="Times New Roman" w:hAnsi="Times New Roman" w:eastAsia="方正仿宋简体" w:cs="Times New Roman"/>
          <w:b/>
          <w:bCs/>
          <w:color w:val="000000"/>
          <w:sz w:val="32"/>
          <w:szCs w:val="32"/>
          <w:lang w:val="en-US" w:bidi="ar-SA"/>
        </w:rPr>
      </w:pPr>
      <w:r>
        <w:rPr>
          <w:rFonts w:hint="eastAsia" w:ascii="Times New Roman" w:hAnsi="Times New Roman" w:eastAsia="方正仿宋简体" w:cs="Times New Roman"/>
          <w:b/>
          <w:bCs/>
          <w:color w:val="000000"/>
          <w:sz w:val="32"/>
          <w:szCs w:val="32"/>
          <w:lang w:val="en-US" w:bidi="ar-SA"/>
        </w:rPr>
        <w:t>预算营业总收入</w:t>
      </w:r>
      <w:r>
        <w:rPr>
          <w:rFonts w:hint="eastAsia" w:ascii="Times New Roman" w:hAnsi="Times New Roman" w:eastAsia="方正仿宋简体" w:cs="Times New Roman"/>
          <w:b/>
          <w:bCs/>
          <w:color w:val="000000"/>
          <w:sz w:val="32"/>
          <w:szCs w:val="32"/>
          <w:lang w:val="en-US" w:eastAsia="zh-CN" w:bidi="ar-SA"/>
        </w:rPr>
        <w:t>14907</w:t>
      </w:r>
      <w:r>
        <w:rPr>
          <w:rFonts w:hint="eastAsia" w:ascii="Times New Roman" w:hAnsi="Times New Roman" w:eastAsia="方正仿宋简体" w:cs="Times New Roman"/>
          <w:b/>
          <w:bCs/>
          <w:color w:val="000000"/>
          <w:sz w:val="32"/>
          <w:szCs w:val="32"/>
          <w:lang w:val="en-US" w:bidi="ar-SA"/>
        </w:rPr>
        <w:t>万元，实际完成率</w:t>
      </w:r>
      <w:r>
        <w:rPr>
          <w:rFonts w:hint="eastAsia" w:ascii="Times New Roman" w:hAnsi="Times New Roman" w:eastAsia="方正仿宋简体" w:cs="Times New Roman"/>
          <w:b/>
          <w:bCs/>
          <w:color w:val="000000"/>
          <w:sz w:val="32"/>
          <w:szCs w:val="32"/>
          <w:lang w:val="en-US" w:eastAsia="zh-CN" w:bidi="ar-SA"/>
        </w:rPr>
        <w:t>45.36</w:t>
      </w:r>
      <w:r>
        <w:rPr>
          <w:rFonts w:hint="eastAsia" w:ascii="Times New Roman" w:hAnsi="Times New Roman" w:eastAsia="方正仿宋简体" w:cs="Times New Roman"/>
          <w:b/>
          <w:bCs/>
          <w:color w:val="000000"/>
          <w:sz w:val="32"/>
          <w:szCs w:val="32"/>
          <w:lang w:val="en-US" w:bidi="ar-SA"/>
        </w:rPr>
        <w:t>%；预算利润总额</w:t>
      </w:r>
      <w:r>
        <w:rPr>
          <w:rFonts w:hint="eastAsia" w:ascii="Times New Roman" w:hAnsi="Times New Roman" w:eastAsia="方正仿宋简体" w:cs="Times New Roman"/>
          <w:b/>
          <w:bCs/>
          <w:color w:val="000000"/>
          <w:sz w:val="32"/>
          <w:szCs w:val="32"/>
          <w:lang w:val="en-US" w:eastAsia="zh-CN" w:bidi="ar-SA"/>
        </w:rPr>
        <w:t>229</w:t>
      </w:r>
      <w:r>
        <w:rPr>
          <w:rFonts w:hint="eastAsia" w:ascii="Times New Roman" w:hAnsi="Times New Roman" w:eastAsia="方正仿宋简体" w:cs="Times New Roman"/>
          <w:b/>
          <w:bCs/>
          <w:color w:val="000000"/>
          <w:sz w:val="32"/>
          <w:szCs w:val="32"/>
          <w:lang w:val="en-US" w:bidi="ar-SA"/>
        </w:rPr>
        <w:t>万元，实际完成率</w:t>
      </w:r>
      <w:r>
        <w:rPr>
          <w:rFonts w:hint="eastAsia" w:ascii="Times New Roman" w:hAnsi="Times New Roman" w:eastAsia="方正仿宋简体" w:cs="Times New Roman"/>
          <w:b/>
          <w:bCs/>
          <w:color w:val="000000"/>
          <w:sz w:val="32"/>
          <w:szCs w:val="32"/>
          <w:lang w:val="en-US" w:eastAsia="zh-CN" w:bidi="ar-SA"/>
        </w:rPr>
        <w:t>83.46</w:t>
      </w:r>
      <w:r>
        <w:rPr>
          <w:rFonts w:hint="eastAsia" w:ascii="Times New Roman" w:hAnsi="Times New Roman" w:eastAsia="方正仿宋简体" w:cs="Times New Roman"/>
          <w:b/>
          <w:bCs/>
          <w:color w:val="000000"/>
          <w:sz w:val="32"/>
          <w:szCs w:val="32"/>
          <w:lang w:val="en-US" w:bidi="ar-SA"/>
        </w:rPr>
        <w:t>%。</w:t>
      </w:r>
    </w:p>
    <w:p>
      <w:pPr>
        <w:spacing w:line="580" w:lineRule="exact"/>
        <w:ind w:firstLine="643" w:firstLineChars="200"/>
        <w:rPr>
          <w:rFonts w:ascii="方正黑体简体" w:hAnsi="方正黑体简体" w:eastAsia="方正黑体简体" w:cs="方正黑体简体"/>
          <w:sz w:val="32"/>
          <w:szCs w:val="32"/>
          <w:lang w:val="en-US"/>
        </w:rPr>
      </w:pPr>
      <w:r>
        <w:rPr>
          <w:rFonts w:hint="eastAsia" w:ascii="方正黑体简体" w:hAnsi="方正黑体简体" w:eastAsia="方正黑体简体" w:cs="方正黑体简体"/>
          <w:b/>
          <w:sz w:val="32"/>
          <w:szCs w:val="32"/>
          <w:lang w:val="en-US"/>
        </w:rPr>
        <w:t>四、三季度内重大事项及对企业的影响</w:t>
      </w:r>
    </w:p>
    <w:p>
      <w:pPr>
        <w:spacing w:line="580" w:lineRule="exact"/>
        <w:ind w:firstLine="643" w:firstLineChars="200"/>
        <w:rPr>
          <w:rFonts w:hint="eastAsia" w:ascii="Times New Roman" w:hAnsi="Times New Roman" w:eastAsia="方正仿宋简体" w:cs="Times New Roman"/>
          <w:b/>
          <w:bCs/>
          <w:color w:val="000000"/>
          <w:sz w:val="32"/>
          <w:szCs w:val="32"/>
          <w:lang w:val="en-US" w:eastAsia="zh-CN" w:bidi="ar-SA"/>
        </w:rPr>
      </w:pPr>
      <w:r>
        <w:rPr>
          <w:rFonts w:hint="eastAsia" w:ascii="Times New Roman" w:hAnsi="Times New Roman" w:eastAsia="方正仿宋简体" w:cs="Times New Roman"/>
          <w:b/>
          <w:bCs/>
          <w:color w:val="000000"/>
          <w:sz w:val="32"/>
          <w:szCs w:val="32"/>
          <w:lang w:val="en-US" w:bidi="ar-SA"/>
        </w:rPr>
        <w:t>无</w:t>
      </w:r>
      <w:r>
        <w:rPr>
          <w:rFonts w:hint="eastAsia" w:ascii="Times New Roman" w:hAnsi="Times New Roman" w:eastAsia="方正仿宋简体" w:cs="Times New Roman"/>
          <w:b/>
          <w:bCs/>
          <w:color w:val="000000"/>
          <w:sz w:val="32"/>
          <w:szCs w:val="32"/>
          <w:lang w:val="en-US" w:eastAsia="zh-CN" w:bidi="ar-SA"/>
        </w:rPr>
        <w:t>。</w:t>
      </w:r>
    </w:p>
    <w:p>
      <w:pPr>
        <w:rPr>
          <w:highlight w:val="yellow"/>
          <w:lang w:val="en-US"/>
        </w:rPr>
      </w:pPr>
      <w:bookmarkStart w:id="0" w:name="_GoBack"/>
      <w:bookmarkEnd w:id="0"/>
    </w:p>
    <w:p>
      <w:pPr>
        <w:ind w:firstLine="4498" w:firstLineChars="1400"/>
        <w:jc w:val="both"/>
        <w:rPr>
          <w:rFonts w:ascii="Times New Roman" w:hAnsi="Times New Roman" w:eastAsia="方正仿宋简体" w:cs="Times New Roman"/>
          <w:b/>
          <w:bCs/>
          <w:sz w:val="32"/>
          <w:szCs w:val="32"/>
          <w:lang w:val="en-US"/>
        </w:rPr>
      </w:pPr>
    </w:p>
    <w:p>
      <w:pPr>
        <w:widowControl/>
        <w:autoSpaceDE/>
        <w:autoSpaceDN/>
        <w:jc w:val="center"/>
        <w:rPr>
          <w:rFonts w:ascii="Times New Roman" w:hAnsi="Times New Roman" w:eastAsia="方正仿宋简体" w:cs="Times New Roman"/>
          <w:b/>
          <w:bCs/>
          <w:sz w:val="32"/>
          <w:szCs w:val="32"/>
          <w:lang w:val="en-US"/>
        </w:rPr>
      </w:pPr>
    </w:p>
    <w:sectPr>
      <w:footerReference r:id="rId3" w:type="default"/>
      <w:pgSz w:w="11906" w:h="16838"/>
      <w:pgMar w:top="2098" w:right="1474" w:bottom="1701" w:left="1588"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方正黑体简体">
    <w:panose1 w:val="02000000000000000000"/>
    <w:charset w:val="86"/>
    <w:family w:val="script"/>
    <w:pitch w:val="default"/>
    <w:sig w:usb0="A00002BF" w:usb1="184F6CFA" w:usb2="00000012" w:usb3="00000000" w:csb0="00040001" w:csb1="00000000"/>
  </w:font>
  <w:font w:name="方正楷体简体">
    <w:panose1 w:val="02000000000000000000"/>
    <w:charset w:val="86"/>
    <w:family w:val="auto"/>
    <w:pitch w:val="default"/>
    <w:sig w:usb0="A00002BF" w:usb1="184F6CFA" w:usb2="00000012" w:usb3="00000000" w:csb0="00040001" w:csb1="00000000"/>
  </w:font>
  <w:font w:name="方正仿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pPr>
                  <w:pStyle w:val="4"/>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- 1 -</w:t>
                </w:r>
                <w:r>
                  <w:rPr>
                    <w:rFonts w:ascii="Times New Roman" w:hAnsi="Times New Roman" w:cs="Times New Roman"/>
                    <w:sz w:val="28"/>
                    <w:szCs w:val="28"/>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3CE7D2F"/>
    <w:multiLevelType w:val="singleLevel"/>
    <w:tmpl w:val="D3CE7D2F"/>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zA4ZDNmNWYzOTY2MThjOTRkYzJjNTM4Zjk0NDdkMzAifQ=="/>
  </w:docVars>
  <w:rsids>
    <w:rsidRoot w:val="00AB01EA"/>
    <w:rsid w:val="00015A87"/>
    <w:rsid w:val="000168AA"/>
    <w:rsid w:val="000A0544"/>
    <w:rsid w:val="000D614C"/>
    <w:rsid w:val="00151E71"/>
    <w:rsid w:val="00161A8E"/>
    <w:rsid w:val="00197449"/>
    <w:rsid w:val="002135C1"/>
    <w:rsid w:val="00271CDE"/>
    <w:rsid w:val="00300466"/>
    <w:rsid w:val="003152D1"/>
    <w:rsid w:val="00333F66"/>
    <w:rsid w:val="003510F1"/>
    <w:rsid w:val="00384B44"/>
    <w:rsid w:val="003F5C9D"/>
    <w:rsid w:val="004055A1"/>
    <w:rsid w:val="00474979"/>
    <w:rsid w:val="00480385"/>
    <w:rsid w:val="004A6CE9"/>
    <w:rsid w:val="004A7F1A"/>
    <w:rsid w:val="004D1F6D"/>
    <w:rsid w:val="0050064C"/>
    <w:rsid w:val="005571EB"/>
    <w:rsid w:val="005600CB"/>
    <w:rsid w:val="00596856"/>
    <w:rsid w:val="005A15E0"/>
    <w:rsid w:val="006448B5"/>
    <w:rsid w:val="00667382"/>
    <w:rsid w:val="006928AD"/>
    <w:rsid w:val="00693743"/>
    <w:rsid w:val="006B7A98"/>
    <w:rsid w:val="00702DC4"/>
    <w:rsid w:val="00710A95"/>
    <w:rsid w:val="007209DF"/>
    <w:rsid w:val="007721AE"/>
    <w:rsid w:val="007A0DD0"/>
    <w:rsid w:val="007A5A03"/>
    <w:rsid w:val="007A7033"/>
    <w:rsid w:val="007B52EB"/>
    <w:rsid w:val="007E6DD0"/>
    <w:rsid w:val="008001A9"/>
    <w:rsid w:val="00806BE9"/>
    <w:rsid w:val="0084329B"/>
    <w:rsid w:val="00852ACA"/>
    <w:rsid w:val="00857248"/>
    <w:rsid w:val="00896A92"/>
    <w:rsid w:val="008A74B2"/>
    <w:rsid w:val="008D33C1"/>
    <w:rsid w:val="008F345A"/>
    <w:rsid w:val="0091505B"/>
    <w:rsid w:val="00955EFF"/>
    <w:rsid w:val="009C4B22"/>
    <w:rsid w:val="00A24713"/>
    <w:rsid w:val="00A26E02"/>
    <w:rsid w:val="00A563A7"/>
    <w:rsid w:val="00AA1626"/>
    <w:rsid w:val="00AA3DFD"/>
    <w:rsid w:val="00AB01EA"/>
    <w:rsid w:val="00AB3601"/>
    <w:rsid w:val="00AC59A2"/>
    <w:rsid w:val="00AD0180"/>
    <w:rsid w:val="00AE7C83"/>
    <w:rsid w:val="00B078E2"/>
    <w:rsid w:val="00B15769"/>
    <w:rsid w:val="00B860E7"/>
    <w:rsid w:val="00BA25C7"/>
    <w:rsid w:val="00BD36F7"/>
    <w:rsid w:val="00BD7A30"/>
    <w:rsid w:val="00C27E86"/>
    <w:rsid w:val="00C82BDE"/>
    <w:rsid w:val="00CA3314"/>
    <w:rsid w:val="00CB4B86"/>
    <w:rsid w:val="00CC02D6"/>
    <w:rsid w:val="00CC7327"/>
    <w:rsid w:val="00D74B7C"/>
    <w:rsid w:val="00D823A7"/>
    <w:rsid w:val="00DD5062"/>
    <w:rsid w:val="00DE29BB"/>
    <w:rsid w:val="00DF0220"/>
    <w:rsid w:val="00E05E9E"/>
    <w:rsid w:val="00E82D5D"/>
    <w:rsid w:val="00E910E1"/>
    <w:rsid w:val="00E97D11"/>
    <w:rsid w:val="00EA367A"/>
    <w:rsid w:val="00EF29D3"/>
    <w:rsid w:val="00F21D3D"/>
    <w:rsid w:val="00F44739"/>
    <w:rsid w:val="00F50061"/>
    <w:rsid w:val="00F75FEA"/>
    <w:rsid w:val="09BA2F48"/>
    <w:rsid w:val="0C1300BA"/>
    <w:rsid w:val="10A9313E"/>
    <w:rsid w:val="11D529E3"/>
    <w:rsid w:val="17303DFB"/>
    <w:rsid w:val="208262A6"/>
    <w:rsid w:val="212E7BC9"/>
    <w:rsid w:val="2AF62AC6"/>
    <w:rsid w:val="2E9539DE"/>
    <w:rsid w:val="2FC260AC"/>
    <w:rsid w:val="32DA0AFB"/>
    <w:rsid w:val="359C4116"/>
    <w:rsid w:val="365668DF"/>
    <w:rsid w:val="3ADE08F5"/>
    <w:rsid w:val="3EB218E1"/>
    <w:rsid w:val="40BD03D8"/>
    <w:rsid w:val="46625A9C"/>
    <w:rsid w:val="4D663EEA"/>
    <w:rsid w:val="53594A0C"/>
    <w:rsid w:val="593E29D7"/>
    <w:rsid w:val="598A1793"/>
    <w:rsid w:val="5D035CDC"/>
    <w:rsid w:val="5D195C77"/>
    <w:rsid w:val="5DE45B04"/>
    <w:rsid w:val="5E5E5DDC"/>
    <w:rsid w:val="62805C42"/>
    <w:rsid w:val="64A625C6"/>
    <w:rsid w:val="67C52FC9"/>
    <w:rsid w:val="6C9C2772"/>
    <w:rsid w:val="6D316FBD"/>
    <w:rsid w:val="6F4A2487"/>
    <w:rsid w:val="709A5CAE"/>
    <w:rsid w:val="73A033E2"/>
    <w:rsid w:val="73FE1D6C"/>
    <w:rsid w:val="76323B4E"/>
    <w:rsid w:val="7D034B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val="0"/>
      <w:autoSpaceDN w:val="0"/>
    </w:pPr>
    <w:rPr>
      <w:rFonts w:ascii="宋体" w:hAnsi="宋体" w:eastAsia="宋体" w:cs="宋体"/>
      <w:sz w:val="22"/>
      <w:szCs w:val="22"/>
      <w:lang w:val="zh-CN" w:eastAsia="zh-CN" w:bidi="zh-CN"/>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qFormat/>
    <w:uiPriority w:val="0"/>
    <w:pPr>
      <w:keepLines/>
      <w:pageBreakBefore/>
      <w:spacing w:before="240" w:after="120"/>
      <w:jc w:val="center"/>
      <w:outlineLvl w:val="0"/>
    </w:pPr>
    <w:rPr>
      <w:rFonts w:eastAsia="黑体"/>
      <w:b/>
      <w:sz w:val="36"/>
    </w:rPr>
  </w:style>
  <w:style w:type="paragraph" w:styleId="3">
    <w:name w:val="Body Text"/>
    <w:basedOn w:val="1"/>
    <w:link w:val="10"/>
    <w:qFormat/>
    <w:uiPriority w:val="1"/>
    <w:rPr>
      <w:sz w:val="32"/>
      <w:szCs w:val="32"/>
    </w:rPr>
  </w:style>
  <w:style w:type="paragraph" w:styleId="4">
    <w:name w:val="footer"/>
    <w:basedOn w:val="1"/>
    <w:link w:val="13"/>
    <w:unhideWhenUsed/>
    <w:qFormat/>
    <w:uiPriority w:val="99"/>
    <w:pPr>
      <w:tabs>
        <w:tab w:val="center" w:pos="4153"/>
        <w:tab w:val="right" w:pos="8306"/>
      </w:tabs>
      <w:snapToGrid w:val="0"/>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
    <w:name w:val="Table Normal"/>
    <w:semiHidden/>
    <w:unhideWhenUsed/>
    <w:qFormat/>
    <w:uiPriority w:val="2"/>
    <w:pPr>
      <w:widowControl w:val="0"/>
      <w:autoSpaceDE w:val="0"/>
      <w:autoSpaceDN w:val="0"/>
    </w:pPr>
    <w:rPr>
      <w:sz w:val="22"/>
      <w:lang w:eastAsia="en-US"/>
    </w:rPr>
    <w:tblPr>
      <w:tblCellMar>
        <w:top w:w="0" w:type="dxa"/>
        <w:left w:w="0" w:type="dxa"/>
        <w:bottom w:w="0" w:type="dxa"/>
        <w:right w:w="0" w:type="dxa"/>
      </w:tblCellMar>
    </w:tblPr>
  </w:style>
  <w:style w:type="character" w:customStyle="1" w:styleId="10">
    <w:name w:val="正文文本 Char"/>
    <w:basedOn w:val="8"/>
    <w:link w:val="3"/>
    <w:qFormat/>
    <w:uiPriority w:val="1"/>
    <w:rPr>
      <w:rFonts w:ascii="宋体" w:hAnsi="宋体" w:eastAsia="宋体" w:cs="宋体"/>
      <w:kern w:val="0"/>
      <w:sz w:val="32"/>
      <w:szCs w:val="32"/>
      <w:lang w:val="zh-CN" w:bidi="zh-CN"/>
    </w:rPr>
  </w:style>
  <w:style w:type="paragraph" w:customStyle="1" w:styleId="11">
    <w:name w:val="Table Paragraph"/>
    <w:basedOn w:val="1"/>
    <w:qFormat/>
    <w:uiPriority w:val="1"/>
    <w:pPr>
      <w:spacing w:before="96"/>
      <w:jc w:val="right"/>
    </w:pPr>
    <w:rPr>
      <w:rFonts w:ascii="仿宋" w:hAnsi="仿宋" w:eastAsia="仿宋" w:cs="仿宋"/>
    </w:rPr>
  </w:style>
  <w:style w:type="character" w:customStyle="1" w:styleId="12">
    <w:name w:val="页眉 Char"/>
    <w:basedOn w:val="8"/>
    <w:link w:val="5"/>
    <w:qFormat/>
    <w:uiPriority w:val="99"/>
    <w:rPr>
      <w:rFonts w:ascii="宋体" w:hAnsi="宋体" w:cs="宋体"/>
      <w:sz w:val="18"/>
      <w:szCs w:val="18"/>
      <w:lang w:val="zh-CN" w:bidi="zh-CN"/>
    </w:rPr>
  </w:style>
  <w:style w:type="character" w:customStyle="1" w:styleId="13">
    <w:name w:val="页脚 Char"/>
    <w:basedOn w:val="8"/>
    <w:link w:val="4"/>
    <w:qFormat/>
    <w:uiPriority w:val="99"/>
    <w:rPr>
      <w:rFonts w:ascii="宋体" w:hAnsi="宋体" w:cs="宋体"/>
      <w:sz w:val="18"/>
      <w:szCs w:val="18"/>
      <w:lang w:val="zh-CN" w:bidi="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712</Words>
  <Characters>815</Characters>
  <Lines>6</Lines>
  <Paragraphs>1</Paragraphs>
  <TotalTime>11</TotalTime>
  <ScaleCrop>false</ScaleCrop>
  <LinksUpToDate>false</LinksUpToDate>
  <CharactersWithSpaces>824</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2024-10-23T06:32:00Z</dcterms:created>
  <dc:creator>lenovo</dc:creator>
  <cp:lastModifiedBy>张娜</cp:lastModifiedBy>
  <cp:lastPrinted>2022-08-29T09:18:00Z</cp:lastPrinted>
  <dcterms:modified xsi:type="dcterms:W3CDTF">2025-10-31T08:55:23Z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y fmtid="{D5CDD505-2E9C-101B-9397-08002B2CF9AE}" pid="3" name="ICV">
    <vt:lpwstr>BF6EABCB6D12423B8A6CAA463AC634BC_13</vt:lpwstr>
  </property>
  <property fmtid="{D5CDD505-2E9C-101B-9397-08002B2CF9AE}" pid="4" name="KSOTemplateDocerSaveRecord">
    <vt:lpwstr>eyJoZGlkIjoiMjYyNDcxZTE5ODVlMmY0MmNkYjRjOGViMThkOTA1MGUiLCJ1c2VySWQiOiI1MzMxNzAxOTYifQ==</vt:lpwstr>
  </property>
</Properties>
</file>