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汶上县泉河污水处理有限公司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</w:p>
    <w:p>
      <w:pPr>
        <w:snapToGrid w:val="0"/>
        <w:spacing w:line="640" w:lineRule="exact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1.公司名称：汶上县泉河污水处理有限公司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王晓静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3.注册地址：汶上县郭仓镇政府南3000米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1）一般项目：水污染治理；建筑材料销售；水环境污染防治服务；市政设施管理。（除依法须经批准的项目外，凭营业执照依法自主开展经营活动）（2）许可项目：城市生活垃圾经营性服务；建设工程施工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泉河污水厂：汶上县泉河污水处理厂位于郭仓镇美化村东、北园大街以南，占地面积58.947亩。建设规模为4万m/d，配套污水管网68.23公里。主要收集处理汶上县城尚书路以北的城市污水和郭仓镇镇区的污水。该工程采用“调节池+A20+二沉+磁混凝沉淀+过滤+消毒”工艺，出水水质达到类V类地表水水质，总投资2.4亿万元，(污水处理厂工程投资1.54亿元，配套管网工程投资0.86亿元)目前，出水水质达到《城镇污水处理厂污染物排放标准》(GB18918-2002)一级A标准后排入人工湿地作进一步净化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下游人工湿地：人工湿地水质净化项目总投资3664万元，分为潜流湿地与表流湿地，利用污水厂厂内闲置地约7.7亩作为潜流湿地用地;表流湿地是利用小汶河美化村至南周村河段长约5.47公里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面积约465亩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作为表流湿地建设。其中4000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m³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/d出厂水经潜流湿地处理后以中水形式用作农田灌溉及道路喷酒，多余水与其它污水厂一并汇入表流湿进行深度净化，采用分级串联形式运行，净化后水质可达到《地表水环境质量标准》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GB2038-2002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类标准后汇入小汶河。</w:t>
      </w:r>
    </w:p>
    <w:p>
      <w:pPr>
        <w:ind w:firstLine="643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2025年9月30日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</w:p>
    <w:p>
      <w:pPr>
        <w:ind w:firstLine="7000" w:firstLineChars="2500"/>
        <w:jc w:val="left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1434.66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1371.24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15631.18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13923.93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1707.25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1350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9月30日，完成106.42%。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1EF56AC-6DDA-4072-9386-A0B948DF49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62FAA7-B871-4CFE-977C-A6A00466895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93842B-A2E3-4D5B-9EDB-43E57EDF61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7BAA"/>
    <w:rsid w:val="0D2E2072"/>
    <w:rsid w:val="2D2E2D0F"/>
    <w:rsid w:val="425B617C"/>
    <w:rsid w:val="446814FD"/>
    <w:rsid w:val="59920F51"/>
    <w:rsid w:val="5B68042C"/>
    <w:rsid w:val="640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966</Characters>
  <Lines>0</Lines>
  <Paragraphs>0</Paragraphs>
  <TotalTime>2</TotalTime>
  <ScaleCrop>false</ScaleCrop>
  <LinksUpToDate>false</LinksUpToDate>
  <CharactersWithSpaces>970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2025-10-29T06:48:00Z</dcterms:created>
  <dc:creator>Lenovo</dc:creator>
  <cp:lastModifiedBy>张娜</cp:lastModifiedBy>
  <dcterms:modified xsi:type="dcterms:W3CDTF">2025-10-31T08:42:53Z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eyJoZGlkIjoiNzFhYTVmYmE1ZDEyOWMxMmQ3MzRkNjI0OTM0Nzg5YjYiLCJ1c2VySWQiOiIyNDMzMzkyMzUifQ==</vt:lpwstr>
  </property>
  <property fmtid="{D5CDD505-2E9C-101B-9397-08002B2CF9AE}" pid="4" name="ICV">
    <vt:lpwstr>5F6DEF5BAD0D436B8FA649BA4B4D507E_13</vt:lpwstr>
  </property>
</Properties>
</file>