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286C0">
      <w:pPr>
        <w:pStyle w:val="3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山东公用控股有限公司</w:t>
      </w:r>
    </w:p>
    <w:p w14:paraId="22DCDECD">
      <w:pPr>
        <w:pStyle w:val="3"/>
        <w:spacing w:line="70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  <w:t>年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/>
        </w:rPr>
        <w:t>中期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  <w:t>财务等重大信息公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/>
        </w:rPr>
        <w:t>开</w:t>
      </w:r>
    </w:p>
    <w:p w14:paraId="38ECD974">
      <w:pPr>
        <w:pStyle w:val="3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</w:pPr>
    </w:p>
    <w:p w14:paraId="4598FCAB">
      <w:pPr>
        <w:spacing w:line="580" w:lineRule="exact"/>
        <w:ind w:firstLine="619" w:firstLineChars="200"/>
        <w:rPr>
          <w:rFonts w:hint="eastAsia" w:ascii="方正黑体简体" w:hAnsi="方正黑体简体" w:eastAsia="方正黑体简体" w:cs="方正黑体简体"/>
          <w:b/>
          <w:bCs/>
          <w:spacing w:val="-6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spacing w:val="-6"/>
          <w:sz w:val="32"/>
          <w:szCs w:val="32"/>
          <w:lang w:val="en-US"/>
        </w:rPr>
        <w:t>本信息公告口径说明：指标数据为山东公用法定合并报表口径。</w:t>
      </w:r>
    </w:p>
    <w:p w14:paraId="76E4490F">
      <w:pPr>
        <w:pStyle w:val="3"/>
        <w:spacing w:line="600" w:lineRule="exact"/>
        <w:ind w:firstLine="640" w:firstLineChars="200"/>
        <w:jc w:val="both"/>
        <w:rPr>
          <w:rFonts w:hint="eastAsia" w:ascii="方正黑体简体" w:hAnsi="方正黑体简体" w:eastAsia="方正黑体简体" w:cs="方正黑体简体"/>
          <w:lang w:val="en-US"/>
        </w:rPr>
      </w:pPr>
    </w:p>
    <w:p w14:paraId="4F41AD24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lang w:val="en-US"/>
        </w:rPr>
        <w:t>公司基本情况</w:t>
      </w:r>
    </w:p>
    <w:p w14:paraId="786C8A4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lang w:val="en-US"/>
        </w:rPr>
        <w:t>（一）基本信息</w:t>
      </w:r>
    </w:p>
    <w:p w14:paraId="08D2D53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lang w:val="en-US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1.名    称：山东公用控股有限公司</w:t>
      </w:r>
    </w:p>
    <w:p w14:paraId="66DBC32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lang w:val="en-US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2.企业类型：有限责任公司</w:t>
      </w:r>
      <w:bookmarkStart w:id="0" w:name="_GoBack"/>
      <w:bookmarkEnd w:id="0"/>
    </w:p>
    <w:p w14:paraId="1455137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lang w:val="en-US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3.成立日期：1993-06-27</w:t>
      </w:r>
    </w:p>
    <w:p w14:paraId="188FC1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lang w:val="en-US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4.法定代表人：李</w:t>
      </w:r>
      <w:r>
        <w:rPr>
          <w:rFonts w:hint="eastAsia" w:ascii="Times New Roman" w:hAnsi="Times New Roman" w:eastAsia="方正仿宋简体" w:cs="Times New Roman"/>
          <w:b/>
          <w:bCs/>
          <w:lang w:val="en-US"/>
        </w:rPr>
        <w:t xml:space="preserve">  </w:t>
      </w:r>
      <w:r>
        <w:rPr>
          <w:rFonts w:ascii="Times New Roman" w:hAnsi="Times New Roman" w:eastAsia="方正仿宋简体" w:cs="Times New Roman"/>
          <w:b/>
          <w:bCs/>
          <w:lang w:val="en-US"/>
        </w:rPr>
        <w:t>鲁</w:t>
      </w:r>
    </w:p>
    <w:p w14:paraId="0E56D97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lang w:val="en-US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5.注册地址：济宁市红星中路23号</w:t>
      </w:r>
    </w:p>
    <w:p w14:paraId="62C5CB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lang w:val="en-US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6.经营范围</w:t>
      </w:r>
    </w:p>
    <w:p w14:paraId="33B55D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lang w:val="en-US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自来水生产与供应；污水处理及其再生利用；热力生产和供应；建设工程施工；建设工程设计；水利工程建设监理；证券投资咨询；房地产开发经营；发电业务、输电业务、供（配）电业务；饮料生产。（依法须经批准的项目，经相关部门批准后方可开展经营活动，具体经营</w:t>
      </w:r>
      <w:r>
        <w:rPr>
          <w:rFonts w:hint="eastAsia" w:ascii="方正仿宋简体" w:hAnsi="方正仿宋简体" w:eastAsia="方正仿宋简体" w:cs="方正仿宋简体"/>
          <w:b/>
          <w:bCs/>
          <w:lang w:val="en-US"/>
        </w:rPr>
        <w:t>项目以相关部门批准文件或许可证件为准）。</w:t>
      </w:r>
    </w:p>
    <w:p w14:paraId="5330F0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/>
          <w:lang w:val="en-US"/>
        </w:rPr>
        <w:t>一般项目：水污染治理；水资源管理；创业投资（限投资未上市企业）；企业管理咨询；市场营销策划；私募股权投资基金管理、创业投资基金管理服务（须在中国证券投资基金业协会完成登记备案后方可从事经营活动）；销售代理；市政设施管理；财务咨询；储能技术服务；新能源原动设备销售；非居住房地产租赁；会议及展览服务；发电机及发电机组销售；工程管理服务；商业综合体管理服务；技术服务、技术开发、技术咨询、技术交流、技术转让、技术推广；专用化学产品销售（不含危险化学品）；煤炭及制品销售；五金产品批发；有色金属合金销售；建筑材料销售；合成材料销售；砼结构构件销售；建筑装饰材料销售；生态环境材料销售。（除依法须经批准的项目外，凭营业执照依法自主开展经营活动）</w:t>
      </w:r>
    </w:p>
    <w:p w14:paraId="1AA3A9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lang w:val="en-US"/>
        </w:rPr>
        <w:t>（二）公司简介</w:t>
      </w:r>
    </w:p>
    <w:p w14:paraId="481E4DD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/>
        </w:rPr>
      </w:pPr>
      <w:r>
        <w:rPr>
          <w:rFonts w:hint="default" w:ascii="Times New Roman" w:hAnsi="Times New Roman" w:eastAsia="方正仿宋简体" w:cs="Times New Roman"/>
          <w:b/>
          <w:bCs/>
          <w:lang w:val="en-US"/>
        </w:rPr>
        <w:t>山东公用控股有限公司是集城乡水务、热电联产、燃气供应、环保科技、建设工程、智能制造、医养健康于一体的城乡综合服务商。公司注册资本100亿元，下辖各级子公司140余户。截至2025年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lang w:val="en-US"/>
        </w:rPr>
        <w:t>月底，公司资产总额达到79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8.24</w:t>
      </w:r>
      <w:r>
        <w:rPr>
          <w:rFonts w:hint="default" w:ascii="Times New Roman" w:hAnsi="Times New Roman" w:eastAsia="方正仿宋简体" w:cs="Times New Roman"/>
          <w:b/>
          <w:bCs/>
          <w:lang w:val="en-US"/>
        </w:rPr>
        <w:t>亿元，员工1.1万余人，日供水能力150万立方米，日污水治理能力180万立方米，供热面积7300余万平方米，天然气用户60余万户，服务人口超过1600万人，是济宁市首家获得“AAA”级主体信用等级的企业。先后荣获全国文明单位、全国五一劳动奖状、全国先进职工之家、山东省“攻坚克难奖”、山东省先进基层党组织等荣誉称号。近年来，山东公用把握深化国企改革的历史机遇，以“公用产业+基础设施+先进制造”为驱动，全力打造民生公用、活力公用、生态公用、智慧公用和品质公用“五个公用”，大力实施城市更新行动，建立了多元发展、多极支撑的现代产业体系。城乡供水、集中供热、生态治理等公用产业经营范围涉及到山东、新疆、陕西、甘肃、山西、河南等多个地区，还承建了包括济宁市主城区内环高架及连接线，崇德大道（济宁主城区至曲阜快速路），济邹、兖郓高速公路，共青团路北延高铁连接线，济宁市农村生活污水治理工程，济宁市引黄西线工程，长江、运河地表水厂等一批省、市重点基础设施建设项目。目前，山东公用的整体规模和综合实力已处于省内领先，进入全国第一方阵。</w:t>
      </w:r>
    </w:p>
    <w:p w14:paraId="70A1F1AB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lang w:val="en-US"/>
        </w:rPr>
        <w:t>主要会计数据和财务指标</w:t>
      </w:r>
    </w:p>
    <w:p w14:paraId="709C288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lang w:val="en-US"/>
        </w:rPr>
      </w:pPr>
      <w:r>
        <w:rPr>
          <w:rFonts w:ascii="Times New Roman" w:hAnsi="Times New Roman" w:eastAsia="方正黑体简体" w:cs="Times New Roman"/>
          <w:b/>
          <w:bCs/>
          <w:lang w:val="en-US"/>
        </w:rPr>
        <w:t>202</w:t>
      </w:r>
      <w:r>
        <w:rPr>
          <w:rFonts w:hint="eastAsia" w:ascii="Times New Roman" w:hAnsi="Times New Roman" w:eastAsia="方正黑体简体" w:cs="Times New Roman"/>
          <w:b/>
          <w:bCs/>
          <w:lang w:val="en-US"/>
        </w:rPr>
        <w:t>5</w:t>
      </w:r>
      <w:r>
        <w:rPr>
          <w:rFonts w:ascii="Times New Roman" w:hAnsi="Times New Roman" w:eastAsia="方正黑体简体" w:cs="Times New Roman"/>
          <w:b/>
          <w:bCs/>
          <w:lang w:val="en-US"/>
        </w:rPr>
        <w:t>年</w:t>
      </w:r>
      <w:r>
        <w:rPr>
          <w:rFonts w:hint="eastAsia" w:ascii="Times New Roman" w:hAnsi="Times New Roman" w:eastAsia="方正黑体简体" w:cs="Times New Roman"/>
          <w:b/>
          <w:bCs/>
          <w:lang w:val="en-US"/>
        </w:rPr>
        <w:t>中期</w:t>
      </w:r>
      <w:r>
        <w:rPr>
          <w:rFonts w:ascii="Times New Roman" w:hAnsi="Times New Roman" w:eastAsia="方正黑体简体" w:cs="Times New Roman"/>
          <w:b/>
          <w:bCs/>
          <w:lang w:val="en-US"/>
        </w:rPr>
        <w:t>主要财务数据</w:t>
      </w:r>
    </w:p>
    <w:p w14:paraId="3E73E4E5">
      <w:pPr>
        <w:pStyle w:val="3"/>
        <w:spacing w:line="600" w:lineRule="exact"/>
        <w:ind w:firstLine="6325" w:firstLineChars="2100"/>
        <w:jc w:val="both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/>
        </w:rPr>
        <w:t>单位：人民币万元</w:t>
      </w:r>
    </w:p>
    <w:tbl>
      <w:tblPr>
        <w:tblStyle w:val="7"/>
        <w:tblW w:w="0" w:type="auto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2940"/>
        <w:gridCol w:w="2910"/>
      </w:tblGrid>
      <w:tr w14:paraId="5B49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820" w:type="dxa"/>
          </w:tcPr>
          <w:p w14:paraId="193EED66">
            <w:pPr>
              <w:pStyle w:val="3"/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  <w:t>项  目</w:t>
            </w:r>
          </w:p>
        </w:tc>
        <w:tc>
          <w:tcPr>
            <w:tcW w:w="2940" w:type="dxa"/>
          </w:tcPr>
          <w:p w14:paraId="059084BB">
            <w:pPr>
              <w:pStyle w:val="3"/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  <w:t>本期金额</w:t>
            </w:r>
          </w:p>
        </w:tc>
        <w:tc>
          <w:tcPr>
            <w:tcW w:w="2910" w:type="dxa"/>
          </w:tcPr>
          <w:p w14:paraId="0FBE5804">
            <w:pPr>
              <w:pStyle w:val="3"/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  <w:t>上期金额</w:t>
            </w:r>
          </w:p>
        </w:tc>
      </w:tr>
      <w:tr w14:paraId="4885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820" w:type="dxa"/>
          </w:tcPr>
          <w:p w14:paraId="77F78EB7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营业总收入</w:t>
            </w:r>
          </w:p>
        </w:tc>
        <w:tc>
          <w:tcPr>
            <w:tcW w:w="2940" w:type="dxa"/>
            <w:vAlign w:val="center"/>
          </w:tcPr>
          <w:p w14:paraId="0677BA37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49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,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057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07</w:t>
            </w:r>
          </w:p>
        </w:tc>
        <w:tc>
          <w:tcPr>
            <w:tcW w:w="2910" w:type="dxa"/>
            <w:vAlign w:val="center"/>
          </w:tcPr>
          <w:p w14:paraId="39C88A42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48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,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814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57</w:t>
            </w:r>
          </w:p>
        </w:tc>
      </w:tr>
      <w:tr w14:paraId="3B9B5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820" w:type="dxa"/>
          </w:tcPr>
          <w:p w14:paraId="1B46BE65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营业总成本</w:t>
            </w:r>
          </w:p>
        </w:tc>
        <w:tc>
          <w:tcPr>
            <w:tcW w:w="2940" w:type="dxa"/>
            <w:vAlign w:val="center"/>
          </w:tcPr>
          <w:p w14:paraId="6BE518B5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39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,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122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60</w:t>
            </w:r>
          </w:p>
        </w:tc>
        <w:tc>
          <w:tcPr>
            <w:tcW w:w="2910" w:type="dxa"/>
            <w:vAlign w:val="center"/>
          </w:tcPr>
          <w:p w14:paraId="77ACBC59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37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,3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66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40</w:t>
            </w:r>
          </w:p>
        </w:tc>
      </w:tr>
      <w:tr w14:paraId="00324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820" w:type="dxa"/>
          </w:tcPr>
          <w:p w14:paraId="20388899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利润总额</w:t>
            </w:r>
          </w:p>
        </w:tc>
        <w:tc>
          <w:tcPr>
            <w:tcW w:w="2940" w:type="dxa"/>
            <w:vAlign w:val="center"/>
          </w:tcPr>
          <w:p w14:paraId="2EF9EE5F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30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,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422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07</w:t>
            </w:r>
          </w:p>
        </w:tc>
        <w:tc>
          <w:tcPr>
            <w:tcW w:w="2910" w:type="dxa"/>
            <w:vAlign w:val="center"/>
          </w:tcPr>
          <w:p w14:paraId="09E7FAB1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29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,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097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92</w:t>
            </w:r>
          </w:p>
        </w:tc>
      </w:tr>
      <w:tr w14:paraId="06E7E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820" w:type="dxa"/>
          </w:tcPr>
          <w:p w14:paraId="0039081A">
            <w:pPr>
              <w:pStyle w:val="3"/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highlight w:val="none"/>
                <w:lang w:val="en-US" w:bidi="ar-SA"/>
              </w:rPr>
              <w:t>项  目</w:t>
            </w:r>
          </w:p>
        </w:tc>
        <w:tc>
          <w:tcPr>
            <w:tcW w:w="2940" w:type="dxa"/>
          </w:tcPr>
          <w:p w14:paraId="5DE0C5E9">
            <w:pPr>
              <w:pStyle w:val="3"/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highlight w:val="none"/>
                <w:lang w:val="en-US" w:bidi="ar-SA"/>
              </w:rPr>
              <w:t>期末余额</w:t>
            </w:r>
          </w:p>
        </w:tc>
        <w:tc>
          <w:tcPr>
            <w:tcW w:w="2910" w:type="dxa"/>
          </w:tcPr>
          <w:p w14:paraId="39DBE894">
            <w:pPr>
              <w:pStyle w:val="3"/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highlight w:val="none"/>
                <w:lang w:val="en-US" w:bidi="ar-SA"/>
              </w:rPr>
              <w:t>期初余额</w:t>
            </w:r>
          </w:p>
        </w:tc>
      </w:tr>
      <w:tr w14:paraId="5E16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20" w:type="dxa"/>
          </w:tcPr>
          <w:p w14:paraId="568A0A7D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资产总额</w:t>
            </w:r>
          </w:p>
        </w:tc>
        <w:tc>
          <w:tcPr>
            <w:tcW w:w="2940" w:type="dxa"/>
            <w:vAlign w:val="center"/>
          </w:tcPr>
          <w:p w14:paraId="74A23FEE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7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,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982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,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400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20</w:t>
            </w:r>
          </w:p>
        </w:tc>
        <w:tc>
          <w:tcPr>
            <w:tcW w:w="2910" w:type="dxa"/>
            <w:vAlign w:val="center"/>
          </w:tcPr>
          <w:p w14:paraId="7009F023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7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,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702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,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631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15</w:t>
            </w:r>
          </w:p>
        </w:tc>
      </w:tr>
      <w:tr w14:paraId="748C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20" w:type="dxa"/>
          </w:tcPr>
          <w:p w14:paraId="0033A0EC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负债总额</w:t>
            </w:r>
          </w:p>
        </w:tc>
        <w:tc>
          <w:tcPr>
            <w:tcW w:w="2940" w:type="dxa"/>
            <w:vAlign w:val="center"/>
          </w:tcPr>
          <w:p w14:paraId="0BCD1792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5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,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735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,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123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70</w:t>
            </w:r>
          </w:p>
        </w:tc>
        <w:tc>
          <w:tcPr>
            <w:tcW w:w="2910" w:type="dxa"/>
            <w:vAlign w:val="center"/>
          </w:tcPr>
          <w:p w14:paraId="763F0693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5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,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495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,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294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14</w:t>
            </w:r>
          </w:p>
        </w:tc>
      </w:tr>
      <w:tr w14:paraId="434A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20" w:type="dxa"/>
          </w:tcPr>
          <w:p w14:paraId="0B362ED7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所有者权益</w:t>
            </w:r>
          </w:p>
        </w:tc>
        <w:tc>
          <w:tcPr>
            <w:tcW w:w="2940" w:type="dxa"/>
            <w:vAlign w:val="center"/>
          </w:tcPr>
          <w:p w14:paraId="158E60DF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2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,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247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,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276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51</w:t>
            </w:r>
          </w:p>
        </w:tc>
        <w:tc>
          <w:tcPr>
            <w:tcW w:w="2910" w:type="dxa"/>
            <w:vAlign w:val="center"/>
          </w:tcPr>
          <w:p w14:paraId="1E53CCB9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2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,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207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,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337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02</w:t>
            </w:r>
          </w:p>
        </w:tc>
      </w:tr>
    </w:tbl>
    <w:p w14:paraId="7DB59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640"/>
        <w:textAlignment w:val="auto"/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/>
        </w:rPr>
        <w:t>三、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财务预算执行情况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/>
        </w:rPr>
        <w:t xml:space="preserve">   </w:t>
      </w:r>
    </w:p>
    <w:p w14:paraId="65F5F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5"/>
        <w:textAlignment w:val="auto"/>
        <w:rPr>
          <w:rFonts w:ascii="Times New Roman" w:hAnsi="Times New Roman" w:eastAsia="方正仿宋简体" w:cs="Times New Roman"/>
          <w:b/>
          <w:sz w:val="32"/>
          <w:szCs w:val="32"/>
          <w:highlight w:val="none"/>
        </w:rPr>
      </w:pPr>
      <w:r>
        <w:rPr>
          <w:rFonts w:ascii="Times New Roman" w:hAnsi="Times New Roman" w:eastAsia="方正仿宋简体" w:cs="Times New Roman"/>
          <w:b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方正仿宋简体" w:cs="Times New Roman"/>
          <w:b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/>
        </w:rPr>
        <w:t>中期，</w:t>
      </w:r>
      <w:r>
        <w:rPr>
          <w:rFonts w:ascii="Times New Roman" w:hAnsi="Times New Roman" w:eastAsia="方正仿宋简体" w:cs="Times New Roman"/>
          <w:b/>
          <w:sz w:val="32"/>
          <w:szCs w:val="32"/>
          <w:highlight w:val="none"/>
        </w:rPr>
        <w:t>公司实现营业总收入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/>
        </w:rPr>
        <w:t>74.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91</w:t>
      </w:r>
      <w:r>
        <w:rPr>
          <w:rFonts w:ascii="Times New Roman" w:hAnsi="Times New Roman" w:eastAsia="方正仿宋简体" w:cs="Times New Roman"/>
          <w:b/>
          <w:sz w:val="32"/>
          <w:szCs w:val="32"/>
          <w:highlight w:val="none"/>
        </w:rPr>
        <w:t>亿元，完成全年预算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161.46</w:t>
      </w:r>
      <w:r>
        <w:rPr>
          <w:rFonts w:ascii="Times New Roman" w:hAnsi="Times New Roman" w:eastAsia="方正仿宋简体" w:cs="Times New Roman"/>
          <w:b/>
          <w:sz w:val="32"/>
          <w:szCs w:val="32"/>
          <w:highlight w:val="none"/>
        </w:rPr>
        <w:t>亿元的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46.40</w:t>
      </w:r>
      <w:r>
        <w:rPr>
          <w:rFonts w:ascii="Times New Roman" w:hAnsi="Times New Roman" w:eastAsia="方正仿宋简体" w:cs="Times New Roman"/>
          <w:b/>
          <w:sz w:val="32"/>
          <w:szCs w:val="32"/>
          <w:highlight w:val="none"/>
        </w:rPr>
        <w:t>%；实现利润总额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3.04</w:t>
      </w:r>
      <w:r>
        <w:rPr>
          <w:rFonts w:ascii="Times New Roman" w:hAnsi="Times New Roman" w:eastAsia="方正仿宋简体" w:cs="Times New Roman"/>
          <w:b/>
          <w:sz w:val="32"/>
          <w:szCs w:val="32"/>
          <w:highlight w:val="none"/>
        </w:rPr>
        <w:t>亿元，完成全年预算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3.47</w:t>
      </w:r>
      <w:r>
        <w:rPr>
          <w:rFonts w:ascii="Times New Roman" w:hAnsi="Times New Roman" w:eastAsia="方正仿宋简体" w:cs="Times New Roman"/>
          <w:b/>
          <w:sz w:val="32"/>
          <w:szCs w:val="32"/>
          <w:highlight w:val="none"/>
        </w:rPr>
        <w:t>亿元的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highlight w:val="none"/>
          <w:lang w:val="en-US" w:eastAsia="zh-CN"/>
        </w:rPr>
        <w:t>87.61</w:t>
      </w:r>
      <w:r>
        <w:rPr>
          <w:rFonts w:ascii="Times New Roman" w:hAnsi="Times New Roman" w:eastAsia="方正仿宋简体" w:cs="Times New Roman"/>
          <w:b/>
          <w:sz w:val="32"/>
          <w:szCs w:val="32"/>
          <w:highlight w:val="none"/>
        </w:rPr>
        <w:t>%。</w:t>
      </w:r>
    </w:p>
    <w:p w14:paraId="35160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/>
        </w:rPr>
        <w:t>四、中期内重大事项及对企业的影响</w:t>
      </w:r>
    </w:p>
    <w:p w14:paraId="5E955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/>
        </w:rPr>
        <w:t>无。</w:t>
      </w:r>
    </w:p>
    <w:p w14:paraId="29BCAFA0">
      <w:pPr>
        <w:spacing w:line="580" w:lineRule="exact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/>
        </w:rPr>
      </w:pPr>
    </w:p>
    <w:p w14:paraId="0A0C2C81">
      <w:pPr>
        <w:rPr>
          <w:rFonts w:hint="eastAsia"/>
          <w:lang w:val="en-US"/>
        </w:rPr>
      </w:pPr>
    </w:p>
    <w:p w14:paraId="2EE50BCB">
      <w:pPr>
        <w:ind w:firstLine="4498" w:firstLineChars="1400"/>
        <w:jc w:val="both"/>
        <w:rPr>
          <w:rFonts w:ascii="Times New Roman" w:hAnsi="Times New Roman" w:eastAsia="方正仿宋简体" w:cs="Times New Roman"/>
          <w:b/>
          <w:bCs/>
          <w:sz w:val="32"/>
          <w:szCs w:val="32"/>
          <w:lang w:val="en-US"/>
        </w:rPr>
      </w:pPr>
    </w:p>
    <w:p w14:paraId="0D79CE6C">
      <w:pPr>
        <w:widowControl/>
        <w:autoSpaceDE/>
        <w:autoSpaceDN/>
        <w:jc w:val="center"/>
        <w:rPr>
          <w:rFonts w:ascii="Times New Roman" w:hAnsi="Times New Roman" w:eastAsia="方正仿宋简体" w:cs="Times New Roman"/>
          <w:b/>
          <w:bCs/>
          <w:sz w:val="32"/>
          <w:szCs w:val="32"/>
          <w:lang w:val="en-US"/>
        </w:rPr>
      </w:pPr>
    </w:p>
    <w:sectPr>
      <w:footerReference r:id="rId5" w:type="default"/>
      <w:pgSz w:w="11906" w:h="16838"/>
      <w:pgMar w:top="2098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80488">
    <w:pPr>
      <w:pStyle w:val="4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C216E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6C216E"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CE7D2F"/>
    <w:multiLevelType w:val="singleLevel"/>
    <w:tmpl w:val="D3CE7D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wOWIyY2ZkNzVjMDQ2NzQ1MDM0Y2JhOGVjNGRlMzQifQ=="/>
  </w:docVars>
  <w:rsids>
    <w:rsidRoot w:val="00AB01EA"/>
    <w:rsid w:val="00015A87"/>
    <w:rsid w:val="000168AA"/>
    <w:rsid w:val="000A0544"/>
    <w:rsid w:val="000D614C"/>
    <w:rsid w:val="00151E71"/>
    <w:rsid w:val="002135C1"/>
    <w:rsid w:val="00271CDE"/>
    <w:rsid w:val="00300466"/>
    <w:rsid w:val="003152D1"/>
    <w:rsid w:val="00333F66"/>
    <w:rsid w:val="003510F1"/>
    <w:rsid w:val="00384B44"/>
    <w:rsid w:val="004055A1"/>
    <w:rsid w:val="00474979"/>
    <w:rsid w:val="00480385"/>
    <w:rsid w:val="004D1F6D"/>
    <w:rsid w:val="0050064C"/>
    <w:rsid w:val="005571EB"/>
    <w:rsid w:val="005600CB"/>
    <w:rsid w:val="005A15E0"/>
    <w:rsid w:val="006448B5"/>
    <w:rsid w:val="00667382"/>
    <w:rsid w:val="006928AD"/>
    <w:rsid w:val="00693743"/>
    <w:rsid w:val="006B7A98"/>
    <w:rsid w:val="00702DC4"/>
    <w:rsid w:val="00710A95"/>
    <w:rsid w:val="007209DF"/>
    <w:rsid w:val="00734136"/>
    <w:rsid w:val="007A0DD0"/>
    <w:rsid w:val="007A5A03"/>
    <w:rsid w:val="007A7033"/>
    <w:rsid w:val="007E6DD0"/>
    <w:rsid w:val="008001A9"/>
    <w:rsid w:val="00806BE9"/>
    <w:rsid w:val="0084054E"/>
    <w:rsid w:val="0084329B"/>
    <w:rsid w:val="008A74B2"/>
    <w:rsid w:val="008D33C1"/>
    <w:rsid w:val="008F345A"/>
    <w:rsid w:val="0091505B"/>
    <w:rsid w:val="009C4B22"/>
    <w:rsid w:val="00A24713"/>
    <w:rsid w:val="00A26E02"/>
    <w:rsid w:val="00AA3DFD"/>
    <w:rsid w:val="00AB01EA"/>
    <w:rsid w:val="00AB3601"/>
    <w:rsid w:val="00AC59A2"/>
    <w:rsid w:val="00AD0180"/>
    <w:rsid w:val="00AE7C83"/>
    <w:rsid w:val="00B078E2"/>
    <w:rsid w:val="00B15769"/>
    <w:rsid w:val="00B41CD1"/>
    <w:rsid w:val="00B860E7"/>
    <w:rsid w:val="00BA25C7"/>
    <w:rsid w:val="00BD36F7"/>
    <w:rsid w:val="00BD63E3"/>
    <w:rsid w:val="00BD7A30"/>
    <w:rsid w:val="00C27E86"/>
    <w:rsid w:val="00C82BDE"/>
    <w:rsid w:val="00CA3314"/>
    <w:rsid w:val="00CB4B86"/>
    <w:rsid w:val="00CC02D6"/>
    <w:rsid w:val="00CC7327"/>
    <w:rsid w:val="00D74B7C"/>
    <w:rsid w:val="00DD5062"/>
    <w:rsid w:val="00DE29BB"/>
    <w:rsid w:val="00E05E9E"/>
    <w:rsid w:val="00E82D5D"/>
    <w:rsid w:val="00E97D11"/>
    <w:rsid w:val="00EA367A"/>
    <w:rsid w:val="00EF29D3"/>
    <w:rsid w:val="00F21D3D"/>
    <w:rsid w:val="00F50061"/>
    <w:rsid w:val="00F75FEA"/>
    <w:rsid w:val="0C1300BA"/>
    <w:rsid w:val="0F992348"/>
    <w:rsid w:val="11D529E3"/>
    <w:rsid w:val="17303DFB"/>
    <w:rsid w:val="208262A6"/>
    <w:rsid w:val="2E9539DE"/>
    <w:rsid w:val="2F690913"/>
    <w:rsid w:val="32211C11"/>
    <w:rsid w:val="32DA0AFB"/>
    <w:rsid w:val="359C4116"/>
    <w:rsid w:val="365668DF"/>
    <w:rsid w:val="3DAF67A1"/>
    <w:rsid w:val="3EB218E1"/>
    <w:rsid w:val="40BD03D8"/>
    <w:rsid w:val="46625A9C"/>
    <w:rsid w:val="4F780FD9"/>
    <w:rsid w:val="506050FC"/>
    <w:rsid w:val="59C31ACA"/>
    <w:rsid w:val="5D195C77"/>
    <w:rsid w:val="5E5E5DDC"/>
    <w:rsid w:val="62241ADD"/>
    <w:rsid w:val="634E4640"/>
    <w:rsid w:val="67C52FC9"/>
    <w:rsid w:val="69C87DB9"/>
    <w:rsid w:val="6AF93B69"/>
    <w:rsid w:val="6D316FBD"/>
    <w:rsid w:val="73FE1D6C"/>
    <w:rsid w:val="746005BD"/>
    <w:rsid w:val="76323B4E"/>
    <w:rsid w:val="7D03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after="160" w:line="278" w:lineRule="auto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Lines/>
      <w:pageBreakBefore/>
      <w:spacing w:before="240" w:after="120"/>
      <w:jc w:val="center"/>
      <w:outlineLvl w:val="0"/>
    </w:pPr>
    <w:rPr>
      <w:rFonts w:eastAsia="黑体"/>
      <w:b/>
      <w:sz w:val="36"/>
    </w:rPr>
  </w:style>
  <w:style w:type="paragraph" w:styleId="3">
    <w:name w:val="Body Text"/>
    <w:basedOn w:val="1"/>
    <w:link w:val="10"/>
    <w:qFormat/>
    <w:uiPriority w:val="1"/>
    <w:rPr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字符"/>
    <w:basedOn w:val="8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1">
    <w:name w:val="Table Paragraph"/>
    <w:basedOn w:val="1"/>
    <w:qFormat/>
    <w:uiPriority w:val="1"/>
    <w:pPr>
      <w:spacing w:before="96"/>
      <w:jc w:val="right"/>
    </w:pPr>
    <w:rPr>
      <w:rFonts w:ascii="仿宋" w:hAnsi="仿宋" w:eastAsia="仿宋" w:cs="仿宋"/>
    </w:rPr>
  </w:style>
  <w:style w:type="character" w:customStyle="1" w:styleId="12">
    <w:name w:val="页眉 字符"/>
    <w:basedOn w:val="8"/>
    <w:link w:val="5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字符"/>
    <w:basedOn w:val="8"/>
    <w:link w:val="4"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1306</Words>
  <Characters>1503</Characters>
  <Lines>11</Lines>
  <Paragraphs>3</Paragraphs>
  <TotalTime>25</TotalTime>
  <ScaleCrop>false</ScaleCrop>
  <LinksUpToDate>false</LinksUpToDate>
  <CharactersWithSpaces>1516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2025-08-28T09:37:00Z</dcterms:created>
  <dc:creator>lenovo</dc:creator>
  <cp:lastModifiedBy>Administrator</cp:lastModifiedBy>
  <cp:lastPrinted>2022-08-29T09:18:00Z</cp:lastPrinted>
  <dcterms:modified xsi:type="dcterms:W3CDTF">2025-08-31T08:30:48Z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F644CE6429C34351A1F2903CE6657F81_13</vt:lpwstr>
  </property>
  <property fmtid="{D5CDD505-2E9C-101B-9397-08002B2CF9AE}" pid="4" name="KSOTemplateDocerSaveRecord">
    <vt:lpwstr>eyJoZGlkIjoiZjZkN2I4NDU0ZTQ2OWYwZWMxMzFlNjJlZTY3MDVmZTYifQ==</vt:lpwstr>
  </property>
</Properties>
</file>