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C7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山东公用水利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建设工程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有限公司</w:t>
      </w:r>
    </w:p>
    <w:p w14:paraId="212BE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中期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财务等重大信息公开</w:t>
      </w:r>
    </w:p>
    <w:p w14:paraId="634E1A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7D2934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公司基本情况</w:t>
      </w:r>
    </w:p>
    <w:p w14:paraId="1A201FF4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（一）</w:t>
      </w:r>
      <w:r>
        <w:rPr>
          <w:rFonts w:hint="eastAsia" w:ascii="方正楷体简体" w:hAnsi="方正楷体简体" w:eastAsia="方正楷体简体" w:cs="方正楷体简体"/>
          <w:b/>
          <w:bCs/>
          <w:lang w:val="en-US"/>
        </w:rPr>
        <w:t>基本信息</w:t>
      </w:r>
    </w:p>
    <w:p w14:paraId="29970343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公司名称：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山东公用水利建设工程有限公司</w:t>
      </w:r>
    </w:p>
    <w:p w14:paraId="71718BFF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类    型：有限责任公司(非自然人投资或控股的法人独资)</w:t>
      </w:r>
    </w:p>
    <w:p w14:paraId="1D839A9E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法定代表人：李永清</w:t>
      </w:r>
    </w:p>
    <w:p w14:paraId="6FF84000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注册资金：贰仟伍佰万元整</w:t>
      </w:r>
    </w:p>
    <w:p w14:paraId="711C241C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注册地址：济宁市顺河门外街78号</w:t>
      </w:r>
    </w:p>
    <w:p w14:paraId="33061E21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经营范围：许可项目：水利工程建设监理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建设工程监理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水利工程质量检测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建设工程质量检测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建设工程勘察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房屋建筑和市政基础设施项目工程总承包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各类工程建设活动(依法须经批准的项目，经相关部门批准后方可开展经营活动，具体经营项目以审批结果为准)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一般项目：农业机械制造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农业机械销售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建筑工程用机械制造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建筑工程用机械销售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地质勘查专用设备制造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地质勘查专用设备销售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金属结构制造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金属结构销售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机械电气设备制造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电气机械设备销售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防洪除涝设施管理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水利相关咨询服务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灌溉服务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工程管理服务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土地整治服务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非居住房地产租赁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住房租赁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机械设备租赁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建筑工程机械与设备租赁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建筑砌块制造;建筑砌块销售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水泥制品制造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水泥制品销售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建筑材料销售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泵及真空设备销售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；阀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门和旋塞销售(除依法须经批准的项目外，凭营业执照依法自主开展经营活动)。</w:t>
      </w:r>
    </w:p>
    <w:p w14:paraId="5F200EDD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0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lang w:val="en-US"/>
        </w:rPr>
        <w:t>（二）公司简介</w:t>
      </w:r>
    </w:p>
    <w:p w14:paraId="650FE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山东公用水利建设工程有限公司前身济宁市水利机械公司，成立于1962年，是集水利工程施工、监理、防汛抗旱、应急抢险等业务于一体的综合性企业。具备水利水电工程施工总承包贰级资质、地基基础工程专业承包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贰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级、河湖整治工程专业承包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贰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级、水利工程施工监理乙级，专业技术能力和水平均处于全省前列。公司近年来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参与修建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大中型水利工程项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每年积极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参与省市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防汛抢险演练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全省防汛应急抢险工作。</w:t>
      </w:r>
    </w:p>
    <w:p w14:paraId="72FA0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先后荣获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全国水利建设市场主体AAA级信用企业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山东省抗洪抢险突击队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山东省先进建筑施工企业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施工质量管理先进单位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、山东省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重合同、守信用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先进单位等荣誉称号。通过了ISO9001质量管理体系认证，职业健康安全管理体系，环境管理体系认证。</w:t>
      </w:r>
    </w:p>
    <w:p w14:paraId="60B75563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主要会计数据和财务指标</w:t>
      </w:r>
    </w:p>
    <w:p w14:paraId="3AD3AFA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rightChars="0" w:firstLine="643" w:firstLineChars="200"/>
        <w:jc w:val="center"/>
        <w:textAlignment w:val="auto"/>
        <w:rPr>
          <w:rFonts w:hint="eastAsia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2025年中期主要财务数据</w:t>
      </w:r>
    </w:p>
    <w:p w14:paraId="4A0BA79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Chars="200" w:right="0" w:rightChars="0"/>
        <w:jc w:val="right"/>
        <w:textAlignment w:val="auto"/>
        <w:rPr>
          <w:rFonts w:hint="eastAsia" w:ascii="方正楷体简体" w:hAnsi="方正楷体简体" w:eastAsia="方正楷体简体" w:cs="方正楷体简体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单位：人民币万元</w:t>
      </w:r>
    </w:p>
    <w:tbl>
      <w:tblPr>
        <w:tblStyle w:val="2"/>
        <w:tblW w:w="93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2906"/>
        <w:gridCol w:w="2906"/>
      </w:tblGrid>
      <w:tr w14:paraId="0B12F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年同期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</w:tc>
      </w:tr>
      <w:tr w14:paraId="5A50D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营业总收入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3177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3642</w:t>
            </w:r>
          </w:p>
        </w:tc>
      </w:tr>
      <w:tr w14:paraId="4C3A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营业总成本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3046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3472</w:t>
            </w:r>
          </w:p>
        </w:tc>
      </w:tr>
      <w:tr w14:paraId="147AD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290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170</w:t>
            </w:r>
          </w:p>
        </w:tc>
      </w:tr>
      <w:tr w14:paraId="6D78F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15050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11311</w:t>
            </w:r>
          </w:p>
        </w:tc>
      </w:tr>
      <w:tr w14:paraId="7608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11148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7651</w:t>
            </w:r>
          </w:p>
        </w:tc>
      </w:tr>
      <w:tr w14:paraId="0252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3902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3660</w:t>
            </w:r>
          </w:p>
        </w:tc>
      </w:tr>
    </w:tbl>
    <w:p w14:paraId="2D4D3D22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16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财务预算执行情况</w:t>
      </w:r>
    </w:p>
    <w:p w14:paraId="19ABD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中期，公司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实现营业总收入3177万元，完成年度预算的33.44%；实现利润总额290万元，完成年度预算的96.63%；实现净利润121万元，完成年度预算的53.77%。</w:t>
      </w:r>
    </w:p>
    <w:p w14:paraId="69E0918E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中期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内发生的重大事项及对公司的影响</w:t>
      </w:r>
    </w:p>
    <w:p w14:paraId="257BC852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。</w:t>
      </w:r>
    </w:p>
    <w:p w14:paraId="77CC6D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4B94826-1CCC-48DC-964B-BD07A7E8EF8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Njk3Y2I1YTRlYmE5MmFkOTBkMDNjYmY3YWE5MDYifQ=="/>
  </w:docVars>
  <w:rsids>
    <w:rsidRoot w:val="00000000"/>
    <w:rsid w:val="04A844E4"/>
    <w:rsid w:val="0A6729A7"/>
    <w:rsid w:val="10103852"/>
    <w:rsid w:val="12E96D03"/>
    <w:rsid w:val="18CD3A1E"/>
    <w:rsid w:val="1AC87223"/>
    <w:rsid w:val="1B5E1503"/>
    <w:rsid w:val="1C8905EF"/>
    <w:rsid w:val="213E56C7"/>
    <w:rsid w:val="25587FAA"/>
    <w:rsid w:val="2EF94C21"/>
    <w:rsid w:val="32BC1AF9"/>
    <w:rsid w:val="3938118D"/>
    <w:rsid w:val="39D72606"/>
    <w:rsid w:val="42147DEC"/>
    <w:rsid w:val="48B03C69"/>
    <w:rsid w:val="4BAE1913"/>
    <w:rsid w:val="4C737562"/>
    <w:rsid w:val="4DCB0A17"/>
    <w:rsid w:val="500D2A98"/>
    <w:rsid w:val="508C044E"/>
    <w:rsid w:val="576E5343"/>
    <w:rsid w:val="58397FAA"/>
    <w:rsid w:val="5F2331E1"/>
    <w:rsid w:val="61E7244E"/>
    <w:rsid w:val="672E70A7"/>
    <w:rsid w:val="6B756129"/>
    <w:rsid w:val="6C504506"/>
    <w:rsid w:val="6D3F44DF"/>
    <w:rsid w:val="6FD5158E"/>
    <w:rsid w:val="71764201"/>
    <w:rsid w:val="74292505"/>
    <w:rsid w:val="7B513D20"/>
    <w:rsid w:val="7CC6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974</Words>
  <Characters>1054</Characters>
  <Lines>0</Lines>
  <Paragraphs>0</Paragraphs>
  <TotalTime>1</TotalTime>
  <ScaleCrop>false</ScaleCrop>
  <LinksUpToDate>false</LinksUpToDate>
  <CharactersWithSpaces>1058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2023-08-24T04:08:00Z</dcterms:created>
  <dc:creator>联想电脑</dc:creator>
  <cp:lastModifiedBy>Administrator</cp:lastModifiedBy>
  <cp:lastPrinted>2024-04-23T08:21:00Z</cp:lastPrinted>
  <dcterms:modified xsi:type="dcterms:W3CDTF">2025-08-31T07:35:10Z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90D4D8E0FF8246CABF1241F4C7D24A1E_13</vt:lpwstr>
  </property>
  <property fmtid="{D5CDD505-2E9C-101B-9397-08002B2CF9AE}" pid="4" name="KSOTemplateDocerSaveRecord">
    <vt:lpwstr>eyJoZGlkIjoiZjZkN2I4NDU0ZTQ2OWYwZWMxMzFlNjJlZTY3MDVmZTYifQ==</vt:lpwstr>
  </property>
</Properties>
</file>