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default" w:ascii="方正小标宋简体" w:eastAsia="方正小标宋简体"/>
          <w:sz w:val="44"/>
          <w:szCs w:val="44"/>
          <w:lang w:val="en-US" w:eastAsia="zh-CN"/>
        </w:rPr>
        <w:t>山东天润方园建筑工程有限公司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2025年一季度财务等重大</w:t>
      </w:r>
      <w:r>
        <w:rPr>
          <w:rFonts w:hint="eastAsia" w:ascii="方正小标宋简体" w:eastAsia="方正小标宋简体"/>
          <w:sz w:val="44"/>
          <w:szCs w:val="44"/>
        </w:rPr>
        <w:t>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szCs w:val="32"/>
        </w:rPr>
        <w:t>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szCs w:val="32"/>
        </w:rPr>
        <w:t>企业</w:t>
      </w:r>
      <w:r>
        <w:rPr>
          <w:rFonts w:ascii="方正仿宋简体" w:hAnsi="方正仿宋简体" w:eastAsia="方正仿宋简体" w:cs="方正仿宋简体"/>
          <w:b/>
          <w:szCs w:val="32"/>
        </w:rPr>
        <w:t>名称：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  <w:lang w:val="en-US"/>
        </w:rPr>
        <w:t>山东天润方园建筑工程有限公司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szCs w:val="32"/>
        </w:rPr>
        <w:t>注册地址：</w:t>
      </w:r>
      <w:r>
        <w:rPr>
          <w:rFonts w:hint="default" w:ascii="Times New Roman" w:hAnsi="Times New Roman" w:eastAsia="方正仿宋简体" w:cs="Times New Roman"/>
          <w:bCs/>
          <w:sz w:val="32"/>
          <w:szCs w:val="32"/>
        </w:rPr>
        <w:t>山东省济宁市北湖区新城发展B座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Cs w:val="32"/>
        </w:rPr>
        <w:t>登记机关：</w:t>
      </w:r>
      <w:r>
        <w:rPr>
          <w:rFonts w:hint="eastAsia" w:eastAsia="方正仿宋简体" w:cs="Times New Roman"/>
          <w:b w:val="0"/>
          <w:bCs/>
          <w:szCs w:val="32"/>
          <w:lang w:val="en-US" w:eastAsia="zh-CN"/>
        </w:rPr>
        <w:t>济宁北湖省级旅游度假区行政审批服务局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szCs w:val="32"/>
        </w:rPr>
      </w:pPr>
      <w:r>
        <w:rPr>
          <w:rFonts w:hint="default" w:ascii="Times New Roman" w:hAnsi="Times New Roman" w:eastAsia="方正仿宋简体" w:cs="Times New Roman"/>
          <w:b/>
          <w:szCs w:val="32"/>
        </w:rPr>
        <w:t>经营范围：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bidi="ar-SA"/>
        </w:rPr>
        <w:t>建筑工程、市政公用工程、公路工程、水利工程、防水防腐保温工程、建筑机电安装工程、建筑装修装饰工程、消防工程、钢结构工程、地基基础工程、建筑幕墙工程、城市及道路照明工程、园林绿化工程、环保工程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Cs w:val="32"/>
        </w:rPr>
        <w:t>企业类型：</w:t>
      </w:r>
      <w:r>
        <w:rPr>
          <w:rFonts w:hint="eastAsia" w:eastAsia="方正仿宋简体" w:cs="Times New Roman"/>
          <w:b w:val="0"/>
          <w:bCs/>
          <w:szCs w:val="32"/>
          <w:lang w:val="en-US" w:eastAsia="zh-CN"/>
        </w:rPr>
        <w:t>其他有限责任公司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Cs w:val="32"/>
        </w:rPr>
        <w:t>成立日期：</w:t>
      </w:r>
      <w:r>
        <w:rPr>
          <w:rFonts w:hint="eastAsia" w:eastAsia="方正仿宋简体" w:cs="Times New Roman"/>
          <w:b w:val="0"/>
          <w:bCs/>
          <w:szCs w:val="32"/>
          <w:lang w:val="en-US" w:eastAsia="zh-CN"/>
        </w:rPr>
        <w:t>2008年11月24日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二、主要会计数据</w:t>
      </w:r>
      <w:r>
        <w:rPr>
          <w:rFonts w:hint="eastAsia" w:ascii="黑体" w:hAnsi="黑体" w:eastAsia="黑体" w:cs="黑体"/>
          <w:szCs w:val="32"/>
          <w:lang w:eastAsia="zh-CN"/>
        </w:rPr>
        <w:t>和财务指标</w:t>
      </w:r>
    </w:p>
    <w:tbl>
      <w:tblPr>
        <w:tblStyle w:val="5"/>
        <w:tblW w:w="876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3553"/>
        <w:gridCol w:w="3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1-3月份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主要财务数据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单位：人民币</w:t>
            </w:r>
            <w:r>
              <w:rPr>
                <w:rFonts w:hint="eastAsia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本期金额</w:t>
            </w:r>
          </w:p>
        </w:tc>
        <w:tc>
          <w:tcPr>
            <w:tcW w:w="3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营业总收入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18608.24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1013.00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营业总成本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18328.72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869.00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利润总额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279.83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18.00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ind w:firstLine="280" w:firstLineChars="100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本期金额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  <w:t xml:space="preserve">         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3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45861.05</w:t>
            </w:r>
          </w:p>
        </w:tc>
        <w:tc>
          <w:tcPr>
            <w:tcW w:w="3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33464.11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负债总额</w:t>
            </w:r>
          </w:p>
        </w:tc>
        <w:tc>
          <w:tcPr>
            <w:tcW w:w="3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39226.96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27102.24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所有者权益</w:t>
            </w:r>
          </w:p>
        </w:tc>
        <w:tc>
          <w:tcPr>
            <w:tcW w:w="3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6634.09</w:t>
            </w:r>
          </w:p>
        </w:tc>
        <w:tc>
          <w:tcPr>
            <w:tcW w:w="3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6361.87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Cs w:val="32"/>
          <w:lang w:eastAsia="zh-CN"/>
        </w:rPr>
        <w:t>财务预算执行情况</w:t>
      </w:r>
    </w:p>
    <w:p>
      <w:pPr>
        <w:spacing w:line="64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年1-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月份公司累计实现营业总收入</w:t>
      </w:r>
      <w:r>
        <w:rPr>
          <w:rFonts w:hint="eastAsia" w:eastAsia="方正仿宋简体" w:cs="Times New Roman"/>
          <w:color w:val="auto"/>
          <w:kern w:val="2"/>
          <w:sz w:val="28"/>
          <w:szCs w:val="28"/>
          <w:lang w:val="en-US" w:eastAsia="zh-CN" w:bidi="ar-SA"/>
        </w:rPr>
        <w:t>18608.24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eastAsia" w:eastAsia="方正仿宋简体" w:cs="Times New Roman"/>
          <w:color w:val="auto"/>
          <w:kern w:val="2"/>
          <w:sz w:val="28"/>
          <w:szCs w:val="28"/>
          <w:lang w:val="en-US" w:eastAsia="zh-CN" w:bidi="ar-SA"/>
        </w:rPr>
        <w:t>33507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55.53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%，较上年同期</w:t>
      </w:r>
      <w:r>
        <w:rPr>
          <w:rFonts w:hint="eastAsia" w:eastAsia="方正仿宋简体" w:cs="Times New Roman"/>
          <w:color w:val="auto"/>
          <w:kern w:val="2"/>
          <w:sz w:val="28"/>
          <w:szCs w:val="28"/>
          <w:lang w:val="en-US" w:eastAsia="zh-CN" w:bidi="ar-SA"/>
        </w:rPr>
        <w:t>1013.00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万元，增加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17595.24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1736.94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%。</w:t>
      </w:r>
    </w:p>
    <w:p>
      <w:pPr>
        <w:spacing w:line="64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年1-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月份累计实现营业总成本</w:t>
      </w:r>
      <w:r>
        <w:rPr>
          <w:rFonts w:hint="eastAsia" w:eastAsia="方正仿宋简体" w:cs="Times New Roman"/>
          <w:color w:val="auto"/>
          <w:kern w:val="2"/>
          <w:sz w:val="28"/>
          <w:szCs w:val="28"/>
          <w:lang w:val="en-US" w:eastAsia="zh-CN" w:bidi="ar-SA"/>
        </w:rPr>
        <w:t>18328.72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万元，其中：营业成本累计实现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15528.31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万元，完成全年预算的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31745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万元的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48.92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%，较去年同期</w:t>
      </w:r>
      <w:r>
        <w:rPr>
          <w:rFonts w:hint="eastAsia" w:eastAsia="方正仿宋简体" w:cs="Times New Roman"/>
          <w:color w:val="auto"/>
          <w:kern w:val="2"/>
          <w:sz w:val="28"/>
          <w:szCs w:val="28"/>
          <w:lang w:val="en-US" w:eastAsia="zh-CN" w:bidi="ar-SA"/>
        </w:rPr>
        <w:t>869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万元，增加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14659.31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万元，增长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1686.92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。</w:t>
      </w:r>
    </w:p>
    <w:p>
      <w:pPr>
        <w:spacing w:line="64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年1-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月份累计实现利润总额</w:t>
      </w:r>
      <w:r>
        <w:rPr>
          <w:rFonts w:hint="eastAsia" w:eastAsia="方正仿宋简体" w:cs="Times New Roman"/>
          <w:color w:val="auto"/>
          <w:kern w:val="2"/>
          <w:sz w:val="28"/>
          <w:szCs w:val="28"/>
          <w:lang w:val="en-US" w:eastAsia="zh-CN" w:bidi="ar-SA"/>
        </w:rPr>
        <w:t>279.83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879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万元的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31.84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%，较上年同期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增加261.83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增长1454.61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%。</w:t>
      </w:r>
    </w:p>
    <w:p>
      <w:pPr>
        <w:spacing w:line="640" w:lineRule="exact"/>
        <w:ind w:firstLine="640" w:firstLineChars="200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lang w:val="en-US" w:eastAsia="zh-CN"/>
        </w:rPr>
        <w:t>四、</w:t>
      </w:r>
      <w:r>
        <w:rPr>
          <w:rFonts w:hint="eastAsia" w:ascii="方正黑体简体" w:hAnsi="方正黑体简体" w:eastAsia="方正黑体简体" w:cs="方正黑体简体"/>
          <w:color w:val="auto"/>
        </w:rPr>
        <w:t>202</w:t>
      </w:r>
      <w:r>
        <w:rPr>
          <w:rFonts w:hint="eastAsia" w:ascii="方正黑体简体" w:hAnsi="方正黑体简体" w:eastAsia="方正黑体简体" w:cs="方正黑体简体"/>
          <w:color w:val="auto"/>
          <w:lang w:val="en-US" w:eastAsia="zh-CN"/>
        </w:rPr>
        <w:t>5</w:t>
      </w:r>
      <w:r>
        <w:rPr>
          <w:rFonts w:hint="eastAsia" w:ascii="方正黑体简体" w:hAnsi="方正黑体简体" w:eastAsia="方正黑体简体" w:cs="方正黑体简体"/>
          <w:color w:val="auto"/>
        </w:rPr>
        <w:t>年</w:t>
      </w:r>
      <w:r>
        <w:rPr>
          <w:rFonts w:hint="eastAsia" w:ascii="方正黑体简体" w:hAnsi="方正黑体简体" w:eastAsia="方正黑体简体" w:cs="方正黑体简体"/>
          <w:color w:val="auto"/>
          <w:lang w:val="en-US" w:eastAsia="zh-CN"/>
        </w:rPr>
        <w:t>一</w:t>
      </w:r>
      <w:r>
        <w:rPr>
          <w:rFonts w:hint="eastAsia" w:ascii="方正黑体简体" w:hAnsi="方正黑体简体" w:eastAsia="方正黑体简体" w:cs="方正黑体简体"/>
          <w:color w:val="auto"/>
        </w:rPr>
        <w:t>季度内发生的重大事项及对公司的影响</w:t>
      </w:r>
    </w:p>
    <w:p>
      <w:pPr>
        <w:spacing w:line="64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季度内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无重大事项。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 w:cs="Times New Roman"/>
          <w:highlight w:val="none"/>
          <w:lang w:eastAsia="zh-CN"/>
        </w:rPr>
      </w:pP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2D7787-B970-42C6-B4E6-CC30FC1E908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5C766078-482C-405C-BD5C-33C07B26053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AE96CA-900C-41AC-A89B-B27DF3E48AD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7F5EC88-135B-4E2C-BA4C-AD663988BC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mY3NWM3YTcwMjhiNmIxNWYwMDEwNzgzZmZmNjQifQ=="/>
  </w:docVars>
  <w:rsids>
    <w:rsidRoot w:val="000335DA"/>
    <w:rsid w:val="000335DA"/>
    <w:rsid w:val="0021463C"/>
    <w:rsid w:val="005E6279"/>
    <w:rsid w:val="00713BF6"/>
    <w:rsid w:val="00B056B2"/>
    <w:rsid w:val="00B36860"/>
    <w:rsid w:val="00CC7A3C"/>
    <w:rsid w:val="0127706C"/>
    <w:rsid w:val="01A336D3"/>
    <w:rsid w:val="03045209"/>
    <w:rsid w:val="06E17D3B"/>
    <w:rsid w:val="07677884"/>
    <w:rsid w:val="09972933"/>
    <w:rsid w:val="099F1422"/>
    <w:rsid w:val="0BC56CAC"/>
    <w:rsid w:val="0C0323B1"/>
    <w:rsid w:val="0D305579"/>
    <w:rsid w:val="0E38013F"/>
    <w:rsid w:val="1025513D"/>
    <w:rsid w:val="110D3768"/>
    <w:rsid w:val="112E5922"/>
    <w:rsid w:val="11566D84"/>
    <w:rsid w:val="1606156C"/>
    <w:rsid w:val="165D20B6"/>
    <w:rsid w:val="16EB01DC"/>
    <w:rsid w:val="1A400DC5"/>
    <w:rsid w:val="1DD377A6"/>
    <w:rsid w:val="1E1B0273"/>
    <w:rsid w:val="1E741F31"/>
    <w:rsid w:val="1FAD4807"/>
    <w:rsid w:val="1FD004F5"/>
    <w:rsid w:val="219A1568"/>
    <w:rsid w:val="22A745AD"/>
    <w:rsid w:val="23F409F7"/>
    <w:rsid w:val="25A9133B"/>
    <w:rsid w:val="25D86403"/>
    <w:rsid w:val="26CE2C8A"/>
    <w:rsid w:val="278E17D2"/>
    <w:rsid w:val="28397580"/>
    <w:rsid w:val="29C73F17"/>
    <w:rsid w:val="2B0862A0"/>
    <w:rsid w:val="2B8A576B"/>
    <w:rsid w:val="2D426ED6"/>
    <w:rsid w:val="2EE95C9E"/>
    <w:rsid w:val="32547AA6"/>
    <w:rsid w:val="33903219"/>
    <w:rsid w:val="39DB50AA"/>
    <w:rsid w:val="3AE36E90"/>
    <w:rsid w:val="3B7E27DA"/>
    <w:rsid w:val="3BC03CCE"/>
    <w:rsid w:val="3EB23790"/>
    <w:rsid w:val="402C2A1F"/>
    <w:rsid w:val="402F74FD"/>
    <w:rsid w:val="40503261"/>
    <w:rsid w:val="42A05359"/>
    <w:rsid w:val="435430F2"/>
    <w:rsid w:val="43866A63"/>
    <w:rsid w:val="44BF09B5"/>
    <w:rsid w:val="46276812"/>
    <w:rsid w:val="4670405A"/>
    <w:rsid w:val="46C4740E"/>
    <w:rsid w:val="46C67DD9"/>
    <w:rsid w:val="46CE3131"/>
    <w:rsid w:val="49E97F4F"/>
    <w:rsid w:val="49F330AB"/>
    <w:rsid w:val="4E2414DF"/>
    <w:rsid w:val="4F2965C7"/>
    <w:rsid w:val="51850890"/>
    <w:rsid w:val="530B4EA7"/>
    <w:rsid w:val="53E915AA"/>
    <w:rsid w:val="5402266C"/>
    <w:rsid w:val="54787FAB"/>
    <w:rsid w:val="556D1D67"/>
    <w:rsid w:val="569B28E3"/>
    <w:rsid w:val="56C447B8"/>
    <w:rsid w:val="56D4209E"/>
    <w:rsid w:val="579637F7"/>
    <w:rsid w:val="57B32F5D"/>
    <w:rsid w:val="5A2A46CB"/>
    <w:rsid w:val="5A975C33"/>
    <w:rsid w:val="5AE56528"/>
    <w:rsid w:val="5B263FCF"/>
    <w:rsid w:val="5C1E7686"/>
    <w:rsid w:val="602D6CC3"/>
    <w:rsid w:val="617D3553"/>
    <w:rsid w:val="61F07FA8"/>
    <w:rsid w:val="63CA3DCB"/>
    <w:rsid w:val="63EA0E2F"/>
    <w:rsid w:val="686456EB"/>
    <w:rsid w:val="69421EB4"/>
    <w:rsid w:val="6A3D728B"/>
    <w:rsid w:val="6C985C89"/>
    <w:rsid w:val="6FD11419"/>
    <w:rsid w:val="70E52B41"/>
    <w:rsid w:val="711F7F62"/>
    <w:rsid w:val="730C6033"/>
    <w:rsid w:val="746565D3"/>
    <w:rsid w:val="793444A3"/>
    <w:rsid w:val="7D055FCD"/>
    <w:rsid w:val="7D201CD0"/>
    <w:rsid w:val="7D7A30EF"/>
    <w:rsid w:val="7E032CE0"/>
    <w:rsid w:val="7E1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00" w:afterAutospacing="1"/>
      <w:ind w:left="600"/>
    </w:pPr>
    <w:rPr>
      <w:rFonts w:ascii="Arial Unicode MS" w:hAnsi="Arial Unicode MS" w:eastAsia="Arial Unicode MS" w:cs="Arial Unicode MS"/>
      <w:sz w:val="24"/>
      <w:szCs w:val="24"/>
    </w:rPr>
  </w:style>
  <w:style w:type="paragraph" w:styleId="3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240"/>
      <w:jc w:val="center"/>
      <w:outlineLvl w:val="0"/>
    </w:pPr>
    <w:rPr>
      <w:rFonts w:asciiTheme="majorHAnsi" w:hAnsiTheme="majorHAnsi" w:cstheme="majorBidi"/>
      <w:b/>
      <w:bCs/>
      <w:sz w:val="48"/>
      <w:szCs w:val="32"/>
    </w:rPr>
  </w:style>
  <w:style w:type="character" w:customStyle="1" w:styleId="7">
    <w:name w:val="标题 Char"/>
    <w:basedOn w:val="6"/>
    <w:link w:val="4"/>
    <w:qFormat/>
    <w:uiPriority w:val="0"/>
    <w:rPr>
      <w:rFonts w:asciiTheme="majorHAnsi" w:hAnsiTheme="majorHAnsi" w:cstheme="majorBidi"/>
      <w:b/>
      <w:bCs/>
      <w:sz w:val="48"/>
      <w:szCs w:val="32"/>
    </w:rPr>
  </w:style>
  <w:style w:type="character" w:customStyle="1" w:styleId="8">
    <w:name w:val="批注框文本 Char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721</Characters>
  <Lines>8</Lines>
  <Paragraphs>2</Paragraphs>
  <TotalTime>7</TotalTime>
  <ScaleCrop>false</ScaleCrop>
  <LinksUpToDate>false</LinksUpToDate>
  <CharactersWithSpaces>740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2021-08-04T01:28:00Z</dcterms:created>
  <dc:creator>admin</dc:creator>
  <cp:lastModifiedBy>张娜</cp:lastModifiedBy>
  <cp:lastPrinted>2023-04-20T00:50:00Z</cp:lastPrinted>
  <dcterms:modified xsi:type="dcterms:W3CDTF">2025-04-30T08:31:18Z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4D86F6DB08AE4364A9F6305C225A0DC1_13</vt:lpwstr>
  </property>
  <property fmtid="{D5CDD505-2E9C-101B-9397-08002B2CF9AE}" pid="4" name="KSOTemplateDocerSaveRecord">
    <vt:lpwstr>eyJoZGlkIjoiZGQwZThhYTQyNjAzNDE3YjE3MzBhNTJlOWVkZjk3MTAiLCJ1c2VySWQiOiIyNjM0Mjk3NzgifQ==</vt:lpwstr>
  </property>
</Properties>
</file>