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济宁市中正工程监理有限责任公司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val="en-US" w:eastAsia="zh-CN"/>
        </w:rPr>
        <w:t>一</w:t>
      </w:r>
      <w:r>
        <w:rPr>
          <w:rFonts w:hint="eastAsia" w:ascii="Times New Roman" w:hAnsi="Times New Roman" w:eastAsia="方正小标宋简体" w:cs="Times New Roman"/>
          <w:sz w:val="44"/>
          <w:szCs w:val="44"/>
          <w:lang w:eastAsia="zh-CN"/>
        </w:rPr>
        <w:t>季度</w:t>
      </w:r>
      <w:r>
        <w:rPr>
          <w:rFonts w:hint="default" w:ascii="Times New Roman" w:hAnsi="Times New Roman" w:eastAsia="方正小标宋简体" w:cs="Times New Roman"/>
          <w:sz w:val="44"/>
          <w:szCs w:val="44"/>
        </w:rPr>
        <w:t>财务等重大信息公开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简体"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黑体简体" w:cs="Times New Roman"/>
          <w:kern w:val="2"/>
          <w:sz w:val="32"/>
          <w:szCs w:val="32"/>
          <w:lang w:val="en-US" w:eastAsia="zh-CN" w:bidi="ar-SA"/>
        </w:rPr>
        <w:t>一、</w:t>
      </w:r>
      <w:r>
        <w:rPr>
          <w:rFonts w:hint="default" w:ascii="Times New Roman" w:hAnsi="Times New Roman" w:eastAsia="方正黑体简体" w:cs="Times New Roman"/>
          <w:sz w:val="32"/>
          <w:szCs w:val="32"/>
          <w:lang w:val="en-US" w:eastAsia="zh-CN"/>
        </w:rPr>
        <w:t>公司基本情况</w:t>
      </w:r>
    </w:p>
    <w:p>
      <w:pPr>
        <w:pStyle w:val="4"/>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公司名称：济宁市中正工程监理有限责任公司</w:t>
      </w:r>
    </w:p>
    <w:p>
      <w:pPr>
        <w:pStyle w:val="4"/>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类    型：有限责任公司(非自然人投资或控股的法人独资)</w:t>
      </w:r>
    </w:p>
    <w:p>
      <w:pPr>
        <w:pStyle w:val="4"/>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法定代表人：</w:t>
      </w:r>
      <w:r>
        <w:rPr>
          <w:rFonts w:hint="eastAsia" w:ascii="Times New Roman" w:hAnsi="Times New Roman" w:eastAsia="方正仿宋简体" w:cs="Times New Roman"/>
          <w:b w:val="0"/>
          <w:bCs w:val="0"/>
          <w:color w:val="000000"/>
          <w:spacing w:val="0"/>
          <w:w w:val="100"/>
          <w:position w:val="0"/>
          <w:sz w:val="32"/>
          <w:szCs w:val="32"/>
          <w:lang w:val="en-US" w:eastAsia="zh-CN"/>
        </w:rPr>
        <w:t>王汉捷</w:t>
      </w:r>
    </w:p>
    <w:p>
      <w:pPr>
        <w:pStyle w:val="4"/>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注册资金：</w:t>
      </w:r>
      <w:r>
        <w:rPr>
          <w:rFonts w:hint="eastAsia" w:ascii="Times New Roman" w:hAnsi="Times New Roman" w:eastAsia="方正仿宋简体" w:cs="Times New Roman"/>
          <w:b w:val="0"/>
          <w:bCs w:val="0"/>
          <w:color w:val="000000"/>
          <w:spacing w:val="0"/>
          <w:w w:val="100"/>
          <w:position w:val="0"/>
          <w:sz w:val="32"/>
          <w:szCs w:val="32"/>
          <w:lang w:val="en-US" w:eastAsia="zh-CN"/>
        </w:rPr>
        <w:t>伍</w:t>
      </w:r>
      <w:r>
        <w:rPr>
          <w:rFonts w:hint="default" w:ascii="Times New Roman" w:hAnsi="Times New Roman" w:eastAsia="方正仿宋简体" w:cs="Times New Roman"/>
          <w:b w:val="0"/>
          <w:bCs w:val="0"/>
          <w:color w:val="000000"/>
          <w:spacing w:val="0"/>
          <w:w w:val="100"/>
          <w:position w:val="0"/>
          <w:sz w:val="32"/>
          <w:szCs w:val="32"/>
          <w:lang w:val="en-US" w:eastAsia="zh-CN"/>
        </w:rPr>
        <w:t>佰万元整</w:t>
      </w:r>
    </w:p>
    <w:p>
      <w:pPr>
        <w:pStyle w:val="4"/>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注册地址：山东省济宁市任城区仙营街道共青团路14号健身广场综合楼12楼</w:t>
      </w:r>
    </w:p>
    <w:p>
      <w:pPr>
        <w:pStyle w:val="4"/>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经营范围：许可项目</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建设工程监理</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水利工程建设监理。</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依法须经批准的项目，经相关部门批准后方可开展经营活动，具体经营项目以相关部门批准文件或许可证件为准</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一般项目</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工程技术服务(规划管理，勘察、设计、监理除外)</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工程造价咨询业务。</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除依法须经批准的项目外，凭营业执照依法自主开展经营活动</w:t>
      </w:r>
      <w:r>
        <w:rPr>
          <w:rFonts w:hint="eastAsia" w:ascii="Times New Roman" w:hAnsi="Times New Roman" w:eastAsia="方正仿宋简体" w:cs="Times New Roman"/>
          <w:b w:val="0"/>
          <w:bCs w:val="0"/>
          <w:color w:val="000000"/>
          <w:spacing w:val="0"/>
          <w:w w:val="100"/>
          <w:position w:val="0"/>
          <w:sz w:val="32"/>
          <w:szCs w:val="32"/>
          <w:lang w:val="en-US" w:eastAsia="zh-CN"/>
        </w:rPr>
        <w:t>）。</w:t>
      </w:r>
    </w:p>
    <w:p>
      <w:pPr>
        <w:pStyle w:val="4"/>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济宁市中正工程监理有限责任公司成立于2009年3月，具有水利部批准的水利工程施工监理甲级、水土保持工程施工监理乙级资质和建设部批准的房屋建筑工程监理乙级、市政公用工程监理乙级资质，是中国水利工程协会会员单位。公司于2020年11月通过SO9001质量体系、ISO14001环境管理体系、OHSAS18001职业健康安全管理体系认证。</w:t>
      </w:r>
    </w:p>
    <w:p>
      <w:pPr>
        <w:pStyle w:val="4"/>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公司自成立以来，已监理过的水利工程项目和水土保持项目共有三百余项，2016 年3月，被水利部评为</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水利建设市场主体信用评价AAA 级</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单位</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2017年获得济宁市工商行政管理局颁发的</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重合同守信用</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企业</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2019年被济宁市水利协会评为</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优秀企业</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。润泽中正监理QC小组课题提高污水处理厂曝气滤池预埋Q235-B碳钢套管安装一次性合格率获得中国水利工程协会2024年度水利工程优秀质量管理小组成果III类成果。泗水县泗河黄阴集大闸除险加固工程</w:t>
      </w:r>
      <w:r>
        <w:rPr>
          <w:rFonts w:hint="eastAsia" w:ascii="Times New Roman" w:hAnsi="Times New Roman" w:eastAsia="方正仿宋简体" w:cs="Times New Roman"/>
          <w:b w:val="0"/>
          <w:bCs w:val="0"/>
          <w:color w:val="000000"/>
          <w:spacing w:val="0"/>
          <w:w w:val="100"/>
          <w:position w:val="0"/>
          <w:sz w:val="32"/>
          <w:szCs w:val="32"/>
          <w:lang w:val="en-US" w:eastAsia="zh-CN"/>
        </w:rPr>
        <w:t>荣获</w:t>
      </w:r>
      <w:r>
        <w:rPr>
          <w:rFonts w:hint="default" w:ascii="Times New Roman" w:hAnsi="Times New Roman" w:eastAsia="方正仿宋简体" w:cs="Times New Roman"/>
          <w:b w:val="0"/>
          <w:bCs w:val="0"/>
          <w:color w:val="000000"/>
          <w:spacing w:val="0"/>
          <w:w w:val="100"/>
          <w:position w:val="0"/>
          <w:sz w:val="32"/>
          <w:szCs w:val="32"/>
          <w:lang w:val="en-US" w:eastAsia="zh-CN"/>
        </w:rPr>
        <w:t>2021年度山东省水利厅、山东省总工会颁发的</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优质工程奖</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和山东省住建厅颁发的</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山东省建筑工程优质结构</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奖等。济宁市</w:t>
      </w:r>
      <w:r>
        <w:rPr>
          <w:rFonts w:hint="eastAsia" w:ascii="Times New Roman" w:hAnsi="Times New Roman" w:eastAsia="方正仿宋简体" w:cs="Times New Roman"/>
          <w:b w:val="0"/>
          <w:bCs w:val="0"/>
          <w:color w:val="000000"/>
          <w:spacing w:val="0"/>
          <w:w w:val="100"/>
          <w:position w:val="0"/>
          <w:sz w:val="32"/>
          <w:szCs w:val="32"/>
          <w:lang w:val="en-US" w:eastAsia="zh-CN"/>
        </w:rPr>
        <w:t>洸</w:t>
      </w:r>
      <w:r>
        <w:rPr>
          <w:rFonts w:hint="default" w:ascii="Times New Roman" w:hAnsi="Times New Roman" w:eastAsia="方正仿宋简体" w:cs="Times New Roman"/>
          <w:b w:val="0"/>
          <w:bCs w:val="0"/>
          <w:color w:val="000000"/>
          <w:spacing w:val="0"/>
          <w:w w:val="100"/>
          <w:position w:val="0"/>
          <w:sz w:val="32"/>
          <w:szCs w:val="32"/>
          <w:lang w:val="en-US" w:eastAsia="zh-CN"/>
        </w:rPr>
        <w:t>府河治理工程</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任城区段</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、聊城市阳谷县引黄灌区农业节水工程</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2021年</w:t>
      </w:r>
      <w:r>
        <w:rPr>
          <w:rFonts w:hint="eastAsia" w:ascii="Times New Roman" w:hAnsi="Times New Roman" w:eastAsia="方正仿宋简体" w:cs="Times New Roman"/>
          <w:b w:val="0"/>
          <w:bCs w:val="0"/>
          <w:color w:val="000000"/>
          <w:spacing w:val="0"/>
          <w:w w:val="100"/>
          <w:position w:val="0"/>
          <w:sz w:val="32"/>
          <w:szCs w:val="32"/>
          <w:lang w:val="en-US" w:eastAsia="zh-CN"/>
        </w:rPr>
        <w:t>）荣获2</w:t>
      </w:r>
      <w:r>
        <w:rPr>
          <w:rFonts w:hint="default" w:ascii="Times New Roman" w:hAnsi="Times New Roman" w:eastAsia="方正仿宋简体" w:cs="Times New Roman"/>
          <w:b w:val="0"/>
          <w:bCs w:val="0"/>
          <w:color w:val="000000"/>
          <w:spacing w:val="0"/>
          <w:w w:val="100"/>
          <w:position w:val="0"/>
          <w:sz w:val="32"/>
          <w:szCs w:val="32"/>
          <w:lang w:val="en-US" w:eastAsia="zh-CN"/>
        </w:rPr>
        <w:t>022年山东水利厅、山东省总工会颁发的</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文明工地</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。泗水县泗河岳陵拦河闸工程、曲阜尼山白村坝工程</w:t>
      </w:r>
      <w:r>
        <w:rPr>
          <w:rFonts w:hint="eastAsia" w:ascii="Times New Roman" w:hAnsi="Times New Roman" w:eastAsia="方正仿宋简体" w:cs="Times New Roman"/>
          <w:b w:val="0"/>
          <w:bCs w:val="0"/>
          <w:color w:val="000000"/>
          <w:spacing w:val="0"/>
          <w:w w:val="100"/>
          <w:position w:val="0"/>
          <w:sz w:val="32"/>
          <w:szCs w:val="32"/>
          <w:lang w:val="en-US" w:eastAsia="zh-CN"/>
        </w:rPr>
        <w:t>荣获</w:t>
      </w:r>
      <w:r>
        <w:rPr>
          <w:rFonts w:hint="default" w:ascii="Times New Roman" w:hAnsi="Times New Roman" w:eastAsia="方正仿宋简体" w:cs="Times New Roman"/>
          <w:b w:val="0"/>
          <w:bCs w:val="0"/>
          <w:color w:val="000000"/>
          <w:spacing w:val="0"/>
          <w:w w:val="100"/>
          <w:position w:val="0"/>
          <w:sz w:val="32"/>
          <w:szCs w:val="32"/>
          <w:lang w:val="en-US" w:eastAsia="zh-CN"/>
        </w:rPr>
        <w:t>2023年度全省重点水利工程建设“争进度、赛质量，比担当、创精品”创新创优劳动竟赛文明工地称号</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2023年2月被济宁市城乡水务局授予水利安全生产标准化三级单位。</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黑体简体" w:cs="Times New Roman"/>
          <w:b w:val="0"/>
          <w:bCs w:val="0"/>
          <w:color w:val="000000"/>
          <w:spacing w:val="0"/>
          <w:w w:val="100"/>
          <w:position w:val="0"/>
          <w:sz w:val="32"/>
          <w:szCs w:val="32"/>
        </w:rPr>
      </w:pPr>
      <w:r>
        <w:rPr>
          <w:rFonts w:hint="default" w:ascii="Times New Roman" w:hAnsi="Times New Roman" w:eastAsia="方正黑体简体" w:cs="Times New Roman"/>
          <w:b w:val="0"/>
          <w:bCs w:val="0"/>
          <w:color w:val="000000"/>
          <w:spacing w:val="0"/>
          <w:w w:val="100"/>
          <w:position w:val="0"/>
          <w:sz w:val="32"/>
          <w:szCs w:val="32"/>
          <w:lang w:val="en-US" w:eastAsia="zh-CN"/>
        </w:rPr>
        <w:t>二、</w:t>
      </w:r>
      <w:r>
        <w:rPr>
          <w:rFonts w:hint="default" w:ascii="Times New Roman" w:hAnsi="Times New Roman" w:eastAsia="方正黑体简体" w:cs="Times New Roman"/>
          <w:b w:val="0"/>
          <w:bCs w:val="0"/>
          <w:color w:val="000000"/>
          <w:spacing w:val="0"/>
          <w:w w:val="100"/>
          <w:position w:val="0"/>
          <w:sz w:val="32"/>
          <w:szCs w:val="32"/>
        </w:rPr>
        <w:t>主要会计数据和财务指标</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600" w:lineRule="exact"/>
        <w:ind w:left="0" w:leftChars="0" w:right="0" w:rightChars="0" w:firstLine="640" w:firstLineChars="200"/>
        <w:jc w:val="center"/>
        <w:textAlignment w:val="auto"/>
        <w:rPr>
          <w:rFonts w:hint="eastAsia" w:ascii="Times New Roman" w:hAnsi="Times New Roman" w:eastAsia="方正黑体简体" w:cs="Times New Roman"/>
          <w:b w:val="0"/>
          <w:bCs w:val="0"/>
          <w:color w:val="000000"/>
          <w:spacing w:val="0"/>
          <w:w w:val="100"/>
          <w:position w:val="0"/>
          <w:sz w:val="32"/>
          <w:szCs w:val="32"/>
          <w:lang w:val="en-US" w:eastAsia="zh-CN"/>
        </w:rPr>
      </w:pPr>
      <w:r>
        <w:rPr>
          <w:rFonts w:hint="eastAsia" w:ascii="Times New Roman" w:hAnsi="Times New Roman" w:eastAsia="方正黑体简体" w:cs="Times New Roman"/>
          <w:b w:val="0"/>
          <w:bCs w:val="0"/>
          <w:color w:val="000000"/>
          <w:spacing w:val="0"/>
          <w:w w:val="100"/>
          <w:position w:val="0"/>
          <w:sz w:val="32"/>
          <w:szCs w:val="32"/>
          <w:lang w:val="en-US" w:eastAsia="zh-CN"/>
        </w:rPr>
        <w:t>2025年一季度主要财务数据</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600" w:lineRule="exact"/>
        <w:ind w:leftChars="200" w:right="0" w:rightChars="0"/>
        <w:jc w:val="right"/>
        <w:textAlignment w:val="auto"/>
        <w:rPr>
          <w:rFonts w:hint="eastAsia" w:ascii="方正楷体简体" w:hAnsi="方正楷体简体" w:eastAsia="方正楷体简体" w:cs="方正楷体简体"/>
          <w:b/>
          <w:bCs/>
          <w:color w:val="000000"/>
          <w:spacing w:val="0"/>
          <w:w w:val="100"/>
          <w:position w:val="0"/>
          <w:sz w:val="32"/>
          <w:szCs w:val="32"/>
        </w:rPr>
      </w:pPr>
      <w:r>
        <w:rPr>
          <w:rFonts w:hint="eastAsia" w:ascii="方正楷体简体" w:hAnsi="方正楷体简体" w:eastAsia="方正楷体简体" w:cs="方正楷体简体"/>
          <w:b/>
          <w:bCs/>
          <w:i w:val="0"/>
          <w:iCs w:val="0"/>
          <w:color w:val="000000"/>
          <w:kern w:val="0"/>
          <w:sz w:val="32"/>
          <w:szCs w:val="32"/>
          <w:u w:val="none"/>
          <w:lang w:val="en-US" w:eastAsia="zh-CN" w:bidi="ar"/>
        </w:rPr>
        <w:t>单位：人民币万元</w:t>
      </w:r>
    </w:p>
    <w:tbl>
      <w:tblPr>
        <w:tblStyle w:val="2"/>
        <w:tblW w:w="93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8"/>
        <w:gridCol w:w="2906"/>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本期金额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上</w:t>
            </w:r>
            <w:r>
              <w:rPr>
                <w:rFonts w:hint="eastAsia" w:ascii="Times New Roman" w:hAnsi="Times New Roman" w:eastAsia="方正仿宋简体" w:cs="Times New Roman"/>
                <w:i w:val="0"/>
                <w:iCs w:val="0"/>
                <w:color w:val="000000"/>
                <w:kern w:val="0"/>
                <w:sz w:val="32"/>
                <w:szCs w:val="32"/>
                <w:u w:val="none"/>
                <w:lang w:val="en-US" w:eastAsia="zh-CN" w:bidi="ar"/>
              </w:rPr>
              <w:t>年同期</w:t>
            </w:r>
            <w:r>
              <w:rPr>
                <w:rFonts w:hint="default" w:ascii="Times New Roman" w:hAnsi="Times New Roman" w:eastAsia="方正仿宋简体" w:cs="Times New Roman"/>
                <w:i w:val="0"/>
                <w:iCs w:val="0"/>
                <w:color w:val="000000"/>
                <w:kern w:val="0"/>
                <w:sz w:val="32"/>
                <w:szCs w:val="3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营业总收入</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default" w:ascii="Times New Roman" w:hAnsi="Times New Roman" w:eastAsia="方正仿宋简体" w:cs="Times New Roman"/>
                <w:i w:val="0"/>
                <w:iCs w:val="0"/>
                <w:color w:val="000000"/>
                <w:sz w:val="32"/>
                <w:szCs w:val="32"/>
                <w:u w:val="none"/>
                <w:lang w:val="en-US" w:eastAsia="zh-CN"/>
              </w:rPr>
              <w:t>319</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default" w:ascii="Times New Roman" w:hAnsi="Times New Roman" w:eastAsia="方正仿宋简体" w:cs="Times New Roman"/>
                <w:i w:val="0"/>
                <w:iCs w:val="0"/>
                <w:color w:val="000000"/>
                <w:sz w:val="32"/>
                <w:szCs w:val="32"/>
                <w:u w:val="none"/>
                <w:lang w:val="en-US" w:eastAsia="zh-CN"/>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营业总成本</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eastAsia" w:ascii="Times New Roman" w:hAnsi="Times New Roman" w:eastAsia="方正仿宋简体" w:cs="Times New Roman"/>
                <w:i w:val="0"/>
                <w:iCs w:val="0"/>
                <w:color w:val="000000"/>
                <w:sz w:val="32"/>
                <w:szCs w:val="32"/>
                <w:u w:val="none"/>
                <w:lang w:val="en-US" w:eastAsia="zh-CN"/>
              </w:rPr>
              <w:t>86</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eastAsia" w:ascii="Times New Roman" w:hAnsi="Times New Roman" w:eastAsia="方正仿宋简体" w:cs="Times New Roman"/>
                <w:i w:val="0"/>
                <w:iCs w:val="0"/>
                <w:color w:val="000000"/>
                <w:sz w:val="32"/>
                <w:szCs w:val="32"/>
                <w:u w:val="none"/>
                <w:lang w:val="en-US" w:eastAsia="zh-CN"/>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利润总额</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default" w:ascii="Times New Roman" w:hAnsi="Times New Roman" w:eastAsia="方正仿宋简体" w:cs="Times New Roman"/>
                <w:i w:val="0"/>
                <w:iCs w:val="0"/>
                <w:color w:val="000000"/>
                <w:sz w:val="32"/>
                <w:szCs w:val="32"/>
                <w:u w:val="none"/>
                <w:lang w:val="en-US" w:eastAsia="zh-CN"/>
              </w:rPr>
              <w:t>233</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default" w:ascii="Times New Roman" w:hAnsi="Times New Roman" w:eastAsia="方正仿宋简体" w:cs="Times New Roman"/>
                <w:i w:val="0"/>
                <w:iCs w:val="0"/>
                <w:color w:val="000000"/>
                <w:sz w:val="32"/>
                <w:szCs w:val="32"/>
                <w:u w:val="none"/>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资产总额</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default" w:ascii="Times New Roman" w:hAnsi="Times New Roman" w:eastAsia="方正仿宋简体" w:cs="Times New Roman"/>
                <w:i w:val="0"/>
                <w:iCs w:val="0"/>
                <w:color w:val="000000"/>
                <w:sz w:val="32"/>
                <w:szCs w:val="32"/>
                <w:u w:val="none"/>
                <w:lang w:val="en-US" w:eastAsia="zh-CN"/>
              </w:rPr>
              <w:t>1779</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default" w:ascii="Times New Roman" w:hAnsi="Times New Roman" w:eastAsia="方正仿宋简体" w:cs="Times New Roman"/>
                <w:i w:val="0"/>
                <w:iCs w:val="0"/>
                <w:color w:val="000000"/>
                <w:sz w:val="32"/>
                <w:szCs w:val="32"/>
                <w:u w:val="none"/>
                <w:lang w:val="en-US" w:eastAsia="zh-CN"/>
              </w:rPr>
              <w:t>1203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负债总额</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default" w:ascii="Times New Roman" w:hAnsi="Times New Roman" w:eastAsia="方正仿宋简体" w:cs="Times New Roman"/>
                <w:i w:val="0"/>
                <w:iCs w:val="0"/>
                <w:color w:val="000000"/>
                <w:sz w:val="32"/>
                <w:szCs w:val="32"/>
                <w:u w:val="none"/>
                <w:lang w:val="en-US" w:eastAsia="zh-CN"/>
              </w:rPr>
              <w:t>378</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default" w:ascii="Times New Roman" w:hAnsi="Times New Roman" w:eastAsia="方正仿宋简体" w:cs="Times New Roman"/>
                <w:i w:val="0"/>
                <w:iCs w:val="0"/>
                <w:color w:val="000000"/>
                <w:sz w:val="32"/>
                <w:szCs w:val="32"/>
                <w:u w:val="none"/>
                <w:lang w:val="en-US" w:eastAsia="zh-CN"/>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所有者权益</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default" w:ascii="Times New Roman" w:hAnsi="Times New Roman" w:eastAsia="方正仿宋简体" w:cs="Times New Roman"/>
                <w:i w:val="0"/>
                <w:iCs w:val="0"/>
                <w:color w:val="000000"/>
                <w:sz w:val="32"/>
                <w:szCs w:val="32"/>
                <w:u w:val="none"/>
                <w:lang w:val="en-US" w:eastAsia="zh-CN"/>
              </w:rPr>
              <w:t>1401</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lang w:val="en-US" w:eastAsia="zh-CN"/>
              </w:rPr>
            </w:pPr>
            <w:r>
              <w:rPr>
                <w:rFonts w:hint="default" w:ascii="Times New Roman" w:hAnsi="Times New Roman" w:eastAsia="方正仿宋简体" w:cs="Times New Roman"/>
                <w:i w:val="0"/>
                <w:iCs w:val="0"/>
                <w:color w:val="000000"/>
                <w:sz w:val="32"/>
                <w:szCs w:val="32"/>
                <w:u w:val="none"/>
                <w:lang w:val="en-US" w:eastAsia="zh-CN"/>
              </w:rPr>
              <w:t>971</w:t>
            </w:r>
          </w:p>
        </w:tc>
      </w:tr>
    </w:tbl>
    <w:p>
      <w:pPr>
        <w:pStyle w:val="4"/>
        <w:keepNext w:val="0"/>
        <w:keepLines w:val="0"/>
        <w:pageBreakBefore w:val="0"/>
        <w:widowControl w:val="0"/>
        <w:shd w:val="clear" w:color="auto" w:fill="auto"/>
        <w:tabs>
          <w:tab w:val="left" w:pos="1617"/>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color w:val="000000"/>
          <w:spacing w:val="0"/>
          <w:w w:val="100"/>
          <w:position w:val="0"/>
          <w:sz w:val="32"/>
          <w:szCs w:val="32"/>
          <w:lang w:val="en-US" w:eastAsia="zh-CN"/>
        </w:rPr>
        <w:t>三、</w:t>
      </w:r>
      <w:r>
        <w:rPr>
          <w:rFonts w:hint="default" w:ascii="Times New Roman" w:hAnsi="Times New Roman" w:eastAsia="方正黑体简体" w:cs="Times New Roman"/>
          <w:b w:val="0"/>
          <w:bCs w:val="0"/>
          <w:color w:val="000000"/>
          <w:spacing w:val="0"/>
          <w:w w:val="100"/>
          <w:position w:val="0"/>
          <w:sz w:val="32"/>
          <w:szCs w:val="32"/>
        </w:rPr>
        <w:t>财务预算执行情况</w:t>
      </w:r>
    </w:p>
    <w:p>
      <w:pPr>
        <w:pStyle w:val="4"/>
        <w:keepNext w:val="0"/>
        <w:keepLines w:val="0"/>
        <w:pageBreakBefore w:val="0"/>
        <w:widowControl w:val="0"/>
        <w:shd w:val="clear" w:color="auto" w:fill="auto"/>
        <w:tabs>
          <w:tab w:val="left" w:pos="1624"/>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auto"/>
          <w:spacing w:val="0"/>
          <w:w w:val="100"/>
          <w:position w:val="0"/>
          <w:sz w:val="32"/>
          <w:szCs w:val="32"/>
          <w:lang w:val="en-US" w:eastAsia="zh-CN"/>
        </w:rPr>
        <w:t>202</w:t>
      </w:r>
      <w:r>
        <w:rPr>
          <w:rFonts w:hint="eastAsia" w:ascii="Times New Roman" w:hAnsi="Times New Roman" w:eastAsia="方正仿宋简体" w:cs="Times New Roman"/>
          <w:b w:val="0"/>
          <w:bCs w:val="0"/>
          <w:color w:val="auto"/>
          <w:spacing w:val="0"/>
          <w:w w:val="100"/>
          <w:position w:val="0"/>
          <w:sz w:val="32"/>
          <w:szCs w:val="32"/>
          <w:lang w:val="en-US" w:eastAsia="zh-CN"/>
        </w:rPr>
        <w:t>5</w:t>
      </w:r>
      <w:r>
        <w:rPr>
          <w:rFonts w:hint="default" w:ascii="Times New Roman" w:hAnsi="Times New Roman" w:eastAsia="方正仿宋简体" w:cs="Times New Roman"/>
          <w:b w:val="0"/>
          <w:bCs w:val="0"/>
          <w:color w:val="auto"/>
          <w:spacing w:val="0"/>
          <w:w w:val="100"/>
          <w:position w:val="0"/>
          <w:sz w:val="32"/>
          <w:szCs w:val="32"/>
          <w:lang w:val="en-US" w:eastAsia="zh-CN"/>
        </w:rPr>
        <w:t>年</w:t>
      </w:r>
      <w:r>
        <w:rPr>
          <w:rFonts w:hint="eastAsia" w:ascii="Times New Roman" w:hAnsi="Times New Roman" w:eastAsia="方正仿宋简体" w:cs="Times New Roman"/>
          <w:b w:val="0"/>
          <w:bCs w:val="0"/>
          <w:color w:val="auto"/>
          <w:spacing w:val="0"/>
          <w:w w:val="100"/>
          <w:position w:val="0"/>
          <w:sz w:val="32"/>
          <w:szCs w:val="32"/>
          <w:lang w:val="en-US" w:eastAsia="zh-CN"/>
        </w:rPr>
        <w:t>一季度</w:t>
      </w:r>
      <w:r>
        <w:rPr>
          <w:rFonts w:hint="default" w:ascii="Times New Roman" w:hAnsi="Times New Roman" w:eastAsia="方正仿宋简体" w:cs="Times New Roman"/>
          <w:b w:val="0"/>
          <w:bCs w:val="0"/>
          <w:color w:val="000000"/>
          <w:spacing w:val="0"/>
          <w:w w:val="100"/>
          <w:position w:val="0"/>
          <w:sz w:val="32"/>
          <w:szCs w:val="32"/>
          <w:lang w:val="en-US" w:eastAsia="zh-CN"/>
        </w:rPr>
        <w:t>，</w:t>
      </w:r>
      <w:r>
        <w:rPr>
          <w:rFonts w:hint="eastAsia" w:ascii="Times New Roman" w:hAnsi="Times New Roman" w:eastAsia="方正仿宋简体" w:cs="Times New Roman"/>
          <w:b w:val="0"/>
          <w:bCs w:val="0"/>
          <w:color w:val="000000"/>
          <w:spacing w:val="0"/>
          <w:w w:val="100"/>
          <w:position w:val="0"/>
          <w:sz w:val="32"/>
          <w:szCs w:val="32"/>
          <w:lang w:val="en-US" w:eastAsia="zh-CN"/>
        </w:rPr>
        <w:t>公司</w:t>
      </w:r>
      <w:r>
        <w:rPr>
          <w:rFonts w:hint="default" w:ascii="Times New Roman" w:hAnsi="Times New Roman" w:eastAsia="方正仿宋简体" w:cs="Times New Roman"/>
          <w:b w:val="0"/>
          <w:bCs w:val="0"/>
          <w:color w:val="000000"/>
          <w:spacing w:val="0"/>
          <w:w w:val="100"/>
          <w:position w:val="0"/>
          <w:sz w:val="32"/>
          <w:szCs w:val="32"/>
          <w:lang w:val="en-US" w:eastAsia="zh-CN"/>
        </w:rPr>
        <w:t>实现营业总收入</w:t>
      </w:r>
      <w:r>
        <w:rPr>
          <w:rFonts w:hint="eastAsia" w:ascii="Times New Roman" w:hAnsi="Times New Roman" w:eastAsia="方正仿宋简体" w:cs="Times New Roman"/>
          <w:b w:val="0"/>
          <w:bCs w:val="0"/>
          <w:color w:val="000000"/>
          <w:spacing w:val="0"/>
          <w:w w:val="100"/>
          <w:position w:val="0"/>
          <w:sz w:val="32"/>
          <w:szCs w:val="32"/>
          <w:lang w:val="en-US" w:eastAsia="zh-CN"/>
        </w:rPr>
        <w:t>319</w:t>
      </w:r>
      <w:r>
        <w:rPr>
          <w:rFonts w:hint="default" w:ascii="Times New Roman" w:hAnsi="Times New Roman" w:eastAsia="方正仿宋简体" w:cs="Times New Roman"/>
          <w:b w:val="0"/>
          <w:bCs w:val="0"/>
          <w:color w:val="000000"/>
          <w:spacing w:val="0"/>
          <w:w w:val="100"/>
          <w:position w:val="0"/>
          <w:sz w:val="32"/>
          <w:szCs w:val="32"/>
          <w:lang w:val="en-US" w:eastAsia="zh-CN"/>
        </w:rPr>
        <w:t>万元，完成年度预算的</w:t>
      </w:r>
      <w:r>
        <w:rPr>
          <w:rFonts w:hint="eastAsia" w:ascii="Times New Roman" w:hAnsi="Times New Roman" w:eastAsia="方正仿宋简体" w:cs="Times New Roman"/>
          <w:b w:val="0"/>
          <w:bCs w:val="0"/>
          <w:color w:val="000000"/>
          <w:spacing w:val="0"/>
          <w:w w:val="100"/>
          <w:position w:val="0"/>
          <w:sz w:val="32"/>
          <w:szCs w:val="32"/>
          <w:lang w:val="en-US" w:eastAsia="zh-CN"/>
        </w:rPr>
        <w:t xml:space="preserve"> 26.58</w:t>
      </w:r>
      <w:r>
        <w:rPr>
          <w:rFonts w:hint="default" w:ascii="Times New Roman" w:hAnsi="Times New Roman" w:eastAsia="方正仿宋简体" w:cs="Times New Roman"/>
          <w:b w:val="0"/>
          <w:bCs w:val="0"/>
          <w:color w:val="000000"/>
          <w:spacing w:val="0"/>
          <w:w w:val="100"/>
          <w:position w:val="0"/>
          <w:sz w:val="32"/>
          <w:szCs w:val="32"/>
          <w:lang w:val="en-US" w:eastAsia="zh-CN"/>
        </w:rPr>
        <w:t>%；实现利润总额</w:t>
      </w:r>
      <w:r>
        <w:rPr>
          <w:rFonts w:hint="eastAsia" w:ascii="Times New Roman" w:hAnsi="Times New Roman" w:eastAsia="方正仿宋简体" w:cs="Times New Roman"/>
          <w:b w:val="0"/>
          <w:bCs w:val="0"/>
          <w:color w:val="000000"/>
          <w:spacing w:val="0"/>
          <w:w w:val="100"/>
          <w:position w:val="0"/>
          <w:sz w:val="32"/>
          <w:szCs w:val="32"/>
          <w:lang w:val="en-US" w:eastAsia="zh-CN"/>
        </w:rPr>
        <w:t>233</w:t>
      </w:r>
      <w:r>
        <w:rPr>
          <w:rFonts w:hint="default" w:ascii="Times New Roman" w:hAnsi="Times New Roman" w:eastAsia="方正仿宋简体" w:cs="Times New Roman"/>
          <w:b w:val="0"/>
          <w:bCs w:val="0"/>
          <w:color w:val="000000"/>
          <w:spacing w:val="0"/>
          <w:w w:val="100"/>
          <w:position w:val="0"/>
          <w:sz w:val="32"/>
          <w:szCs w:val="32"/>
          <w:lang w:val="en-US" w:eastAsia="zh-CN"/>
        </w:rPr>
        <w:t>万元，完成年度预算的</w:t>
      </w:r>
      <w:r>
        <w:rPr>
          <w:rFonts w:hint="eastAsia" w:ascii="Times New Roman" w:hAnsi="Times New Roman" w:eastAsia="方正仿宋简体" w:cs="Times New Roman"/>
          <w:b w:val="0"/>
          <w:bCs w:val="0"/>
          <w:color w:val="000000"/>
          <w:spacing w:val="0"/>
          <w:w w:val="100"/>
          <w:position w:val="0"/>
          <w:sz w:val="32"/>
          <w:szCs w:val="32"/>
          <w:lang w:val="en-US" w:eastAsia="zh-CN"/>
        </w:rPr>
        <w:t>78.98</w:t>
      </w:r>
      <w:r>
        <w:rPr>
          <w:rFonts w:hint="default" w:ascii="Times New Roman" w:hAnsi="Times New Roman" w:eastAsia="方正仿宋简体" w:cs="Times New Roman"/>
          <w:b w:val="0"/>
          <w:bCs w:val="0"/>
          <w:color w:val="000000"/>
          <w:spacing w:val="0"/>
          <w:w w:val="100"/>
          <w:position w:val="0"/>
          <w:sz w:val="32"/>
          <w:szCs w:val="32"/>
          <w:lang w:val="en-US" w:eastAsia="zh-CN"/>
        </w:rPr>
        <w:t>%；实现净利润</w:t>
      </w:r>
      <w:r>
        <w:rPr>
          <w:rFonts w:hint="eastAsia" w:ascii="Times New Roman" w:hAnsi="Times New Roman" w:eastAsia="方正仿宋简体" w:cs="Times New Roman"/>
          <w:b w:val="0"/>
          <w:bCs w:val="0"/>
          <w:color w:val="000000"/>
          <w:spacing w:val="0"/>
          <w:w w:val="100"/>
          <w:position w:val="0"/>
          <w:sz w:val="32"/>
          <w:szCs w:val="32"/>
          <w:lang w:val="en-US" w:eastAsia="zh-CN"/>
        </w:rPr>
        <w:t>233</w:t>
      </w:r>
      <w:r>
        <w:rPr>
          <w:rFonts w:hint="default" w:ascii="Times New Roman" w:hAnsi="Times New Roman" w:eastAsia="方正仿宋简体" w:cs="Times New Roman"/>
          <w:b w:val="0"/>
          <w:bCs w:val="0"/>
          <w:color w:val="000000"/>
          <w:spacing w:val="0"/>
          <w:w w:val="100"/>
          <w:position w:val="0"/>
          <w:sz w:val="32"/>
          <w:szCs w:val="32"/>
          <w:lang w:val="en-US" w:eastAsia="zh-CN"/>
        </w:rPr>
        <w:t>万元，完成年度预算的</w:t>
      </w:r>
      <w:r>
        <w:rPr>
          <w:rFonts w:hint="eastAsia" w:ascii="Times New Roman" w:hAnsi="Times New Roman" w:eastAsia="方正仿宋简体" w:cs="Times New Roman"/>
          <w:b w:val="0"/>
          <w:bCs w:val="0"/>
          <w:color w:val="000000"/>
          <w:spacing w:val="0"/>
          <w:w w:val="100"/>
          <w:position w:val="0"/>
          <w:sz w:val="32"/>
          <w:szCs w:val="32"/>
          <w:lang w:val="en-US" w:eastAsia="zh-CN"/>
        </w:rPr>
        <w:t>85.35</w:t>
      </w:r>
      <w:r>
        <w:rPr>
          <w:rFonts w:hint="default" w:ascii="Times New Roman" w:hAnsi="Times New Roman" w:eastAsia="方正仿宋简体" w:cs="Times New Roman"/>
          <w:b w:val="0"/>
          <w:bCs w:val="0"/>
          <w:color w:val="000000"/>
          <w:spacing w:val="0"/>
          <w:w w:val="100"/>
          <w:position w:val="0"/>
          <w:sz w:val="32"/>
          <w:szCs w:val="32"/>
          <w:lang w:val="en-US" w:eastAsia="zh-CN"/>
        </w:rPr>
        <w:t>%。</w:t>
      </w:r>
    </w:p>
    <w:p>
      <w:pPr>
        <w:pStyle w:val="4"/>
        <w:keepNext w:val="0"/>
        <w:keepLines w:val="0"/>
        <w:pageBreakBefore w:val="0"/>
        <w:widowControl w:val="0"/>
        <w:shd w:val="clear" w:color="auto" w:fill="auto"/>
        <w:tabs>
          <w:tab w:val="left" w:pos="1624"/>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color w:val="000000"/>
          <w:spacing w:val="0"/>
          <w:w w:val="100"/>
          <w:position w:val="0"/>
          <w:sz w:val="32"/>
          <w:szCs w:val="32"/>
          <w:lang w:val="en-US" w:eastAsia="zh-CN"/>
        </w:rPr>
        <w:t>四、</w:t>
      </w:r>
      <w:r>
        <w:rPr>
          <w:rFonts w:hint="eastAsia" w:ascii="Times New Roman" w:hAnsi="Times New Roman" w:eastAsia="方正黑体简体" w:cs="Times New Roman"/>
          <w:b w:val="0"/>
          <w:bCs w:val="0"/>
          <w:color w:val="000000"/>
          <w:spacing w:val="0"/>
          <w:w w:val="100"/>
          <w:position w:val="0"/>
          <w:sz w:val="32"/>
          <w:szCs w:val="32"/>
          <w:lang w:eastAsia="zh-CN"/>
        </w:rPr>
        <w:t>季度</w:t>
      </w:r>
      <w:r>
        <w:rPr>
          <w:rFonts w:hint="default" w:ascii="Times New Roman" w:hAnsi="Times New Roman" w:eastAsia="方正黑体简体" w:cs="Times New Roman"/>
          <w:b w:val="0"/>
          <w:bCs w:val="0"/>
          <w:color w:val="000000"/>
          <w:spacing w:val="0"/>
          <w:w w:val="100"/>
          <w:position w:val="0"/>
          <w:sz w:val="32"/>
          <w:szCs w:val="32"/>
        </w:rPr>
        <w:t>内发生的重大事项及对公司的影响</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无</w:t>
      </w:r>
      <w:r>
        <w:rPr>
          <w:rFonts w:hint="eastAsia" w:ascii="Times New Roman" w:hAnsi="Times New Roman" w:eastAsia="方正仿宋简体" w:cs="Times New Roman"/>
          <w:b w:val="0"/>
          <w:bCs w:val="0"/>
          <w:color w:val="000000"/>
          <w:spacing w:val="0"/>
          <w:w w:val="100"/>
          <w:position w:val="0"/>
          <w:sz w:val="32"/>
          <w:szCs w:val="32"/>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NTlkMmJlMmUxZDUwYzA1MDA0NzA2NGFhN2RiMWUifQ=="/>
  </w:docVars>
  <w:rsids>
    <w:rsidRoot w:val="00000000"/>
    <w:rsid w:val="021C58AC"/>
    <w:rsid w:val="04A844E4"/>
    <w:rsid w:val="06733A1C"/>
    <w:rsid w:val="09E06DFA"/>
    <w:rsid w:val="16E767C7"/>
    <w:rsid w:val="243D52A8"/>
    <w:rsid w:val="25587FAA"/>
    <w:rsid w:val="2AC11E70"/>
    <w:rsid w:val="2B1020EE"/>
    <w:rsid w:val="3FF333C3"/>
    <w:rsid w:val="4B1F2E41"/>
    <w:rsid w:val="5670483C"/>
    <w:rsid w:val="57992143"/>
    <w:rsid w:val="57D32521"/>
    <w:rsid w:val="58397FAA"/>
    <w:rsid w:val="59AD5C77"/>
    <w:rsid w:val="5CD6260D"/>
    <w:rsid w:val="5D871039"/>
    <w:rsid w:val="61E7244E"/>
    <w:rsid w:val="6808060F"/>
    <w:rsid w:val="68AD0759"/>
    <w:rsid w:val="6B756129"/>
    <w:rsid w:val="6EFA5F30"/>
    <w:rsid w:val="72606A84"/>
    <w:rsid w:val="74205AA4"/>
    <w:rsid w:val="76170515"/>
    <w:rsid w:val="764E3614"/>
    <w:rsid w:val="7931219C"/>
    <w:rsid w:val="7CC6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1016</Words>
  <Characters>1134</Characters>
  <Lines>0</Lines>
  <Paragraphs>0</Paragraphs>
  <TotalTime>0</TotalTime>
  <ScaleCrop>false</ScaleCrop>
  <LinksUpToDate>false</LinksUpToDate>
  <CharactersWithSpaces>1140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2023-08-24T04:08:00Z</dcterms:created>
  <dc:creator>联想电脑</dc:creator>
  <cp:lastModifiedBy>张娜</cp:lastModifiedBy>
  <cp:lastPrinted>2024-04-23T08:53:00Z</cp:lastPrinted>
  <dcterms:modified xsi:type="dcterms:W3CDTF">2025-04-30T08:59:12Z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1FFF17E4713D426C88F79E1E7D1E9847_12</vt:lpwstr>
  </property>
  <property fmtid="{D5CDD505-2E9C-101B-9397-08002B2CF9AE}" pid="4" name="KSOTemplateDocerSaveRecord">
    <vt:lpwstr>eyJoZGlkIjoiYzc2ZDg4ZDBhZGQ0ODQ0NmEzODFhMzk5YTA0ODE1MDUiLCJ1c2VySWQiOiI0MzU2NTg0ODcifQ==</vt:lpwstr>
  </property>
</Properties>
</file>