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B876"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汶上县泉河污水处理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有限公司 </w:t>
      </w:r>
    </w:p>
    <w:p w14:paraId="29424ECC">
      <w:pPr>
        <w:snapToGrid w:val="0"/>
        <w:spacing w:line="640" w:lineRule="exact"/>
        <w:jc w:val="center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季度财务重大信息公开</w:t>
      </w:r>
      <w:bookmarkEnd w:id="0"/>
    </w:p>
    <w:p w14:paraId="678C69E4"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</w:p>
    <w:p w14:paraId="2327E053"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 w14:paraId="7BDE4070"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1.公司名称：汶上县泉河污水处理有限公司</w:t>
      </w:r>
    </w:p>
    <w:p w14:paraId="7F29A443"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2.法定代表人：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王晓静</w:t>
      </w:r>
    </w:p>
    <w:p w14:paraId="6B670A43"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3.注册地址：汶上县郭仓镇政府南3000米</w:t>
      </w:r>
    </w:p>
    <w:p w14:paraId="1D2F90E7"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4.经营范围：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水污染治理；建筑材料销售；水环境污染防治服务；市政设施管理。（除依法须经批准的项目外，凭营业执照依法自主开展经营活动）城市生活垃圾经营性服务；建设工程施工。（依法须经批准的项目，经相关部门批准后方可开展经营活动，具体经营项目以相关部门批准文件或许可证件为准）</w:t>
      </w:r>
    </w:p>
    <w:p w14:paraId="2E3FA45E"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5.公司简介: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汶上县泉河污水处理厂位于郭仓镇美化村东、北园大街以南，占地面积58.947亩。建设规模为4万m/d，配套污水管网68.23公里。主要收集处理汶上县城尚书路以北的城市污水和郭仓镇镇区的污水。该工程采用“调节池+A20+二沉+磁混凝沉淀+过滤+消毒”工艺，出水水质达到类V类地表水水质，总投资2.4亿万元，(污水处理厂工程投资1.54亿元，配套管网工程投资0.86亿元)目前，出水水质达到《城镇污水处理厂污染物排放标准》(GB18918-2002)一级A标准后排入人工湿地作进一步净化。</w:t>
      </w:r>
    </w:p>
    <w:p w14:paraId="574910FB"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二、主要会计数据和财务指标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>（截至到202</w:t>
      </w:r>
      <w:r>
        <w:rPr>
          <w:rFonts w:hint="eastAsia" w:ascii="方正黑体简体" w:hAnsi="方正黑体简体" w:eastAsia="方正黑体简体" w:cs="方正黑体简体"/>
          <w:sz w:val="21"/>
          <w:szCs w:val="21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>年</w:t>
      </w:r>
      <w:r>
        <w:rPr>
          <w:rFonts w:hint="eastAsia" w:ascii="方正黑体简体" w:hAnsi="方正黑体简体" w:eastAsia="方正黑体简体" w:cs="方正黑体简体"/>
          <w:sz w:val="21"/>
          <w:szCs w:val="21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>月</w:t>
      </w:r>
      <w:r>
        <w:rPr>
          <w:rFonts w:hint="eastAsia" w:ascii="方正黑体简体" w:hAnsi="方正黑体简体" w:eastAsia="方正黑体简体" w:cs="方正黑体简体"/>
          <w:sz w:val="21"/>
          <w:szCs w:val="21"/>
          <w:lang w:val="en-US" w:eastAsia="zh-CN"/>
        </w:rPr>
        <w:t>31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>日）</w:t>
      </w:r>
    </w:p>
    <w:p w14:paraId="46D24E2A">
      <w:pPr>
        <w:ind w:firstLine="7020" w:firstLineChars="39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18"/>
          <w:szCs w:val="18"/>
        </w:rPr>
        <w:t>单位： 万元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 w14:paraId="6EFC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 w14:paraId="72D2912D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  <w:vAlign w:val="center"/>
          </w:tcPr>
          <w:p w14:paraId="4A7E0791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405.82</w:t>
            </w:r>
          </w:p>
        </w:tc>
      </w:tr>
      <w:tr w14:paraId="757F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 w14:paraId="177C5B6C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  <w:vAlign w:val="center"/>
          </w:tcPr>
          <w:p w14:paraId="32D06506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420.05</w:t>
            </w:r>
          </w:p>
        </w:tc>
      </w:tr>
      <w:tr w14:paraId="403D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 w14:paraId="5C773FB3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  <w:vAlign w:val="center"/>
          </w:tcPr>
          <w:p w14:paraId="4776B16C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-14.23</w:t>
            </w:r>
          </w:p>
        </w:tc>
      </w:tr>
      <w:tr w14:paraId="08F8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 w14:paraId="3CC21ED5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净利润</w:t>
            </w:r>
          </w:p>
        </w:tc>
        <w:tc>
          <w:tcPr>
            <w:tcW w:w="4977" w:type="dxa"/>
            <w:vAlign w:val="center"/>
          </w:tcPr>
          <w:p w14:paraId="201A801F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-14.23</w:t>
            </w:r>
          </w:p>
        </w:tc>
      </w:tr>
      <w:tr w14:paraId="391C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 w14:paraId="251A8996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  <w:vAlign w:val="center"/>
          </w:tcPr>
          <w:p w14:paraId="3132538C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14969.02</w:t>
            </w:r>
          </w:p>
        </w:tc>
      </w:tr>
      <w:tr w14:paraId="37DA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 w14:paraId="044B6B66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  <w:vAlign w:val="center"/>
          </w:tcPr>
          <w:p w14:paraId="7B5743F0">
            <w:pPr>
              <w:ind w:firstLine="1928" w:firstLineChars="800"/>
              <w:jc w:val="both"/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13340.00</w:t>
            </w:r>
          </w:p>
        </w:tc>
      </w:tr>
      <w:tr w14:paraId="21BA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</w:tcPr>
          <w:p w14:paraId="4B88F257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  <w:vAlign w:val="center"/>
          </w:tcPr>
          <w:p w14:paraId="57946B68">
            <w:pPr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24"/>
                <w:lang w:val="en-US" w:eastAsia="zh-CN"/>
              </w:rPr>
              <w:t>1629.03</w:t>
            </w:r>
          </w:p>
        </w:tc>
      </w:tr>
    </w:tbl>
    <w:p w14:paraId="417BD2FA"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三、财务预算执行情况</w:t>
      </w:r>
    </w:p>
    <w:p w14:paraId="40D44472"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1.营业收入：本年预算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1350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30.06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 w14:paraId="717AA080">
      <w:pPr>
        <w:snapToGrid w:val="0"/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2.利润总额：本年预算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万元，截至到202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月3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 w14:paraId="31C6939B">
      <w:pPr>
        <w:snapToGrid w:val="0"/>
        <w:spacing w:line="58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四、本季度内发生的重大事项及对企业的影响</w:t>
      </w:r>
    </w:p>
    <w:p w14:paraId="5433578C">
      <w:pPr>
        <w:snapToGrid w:val="0"/>
        <w:spacing w:line="5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13CC2444"/>
    <w:rsid w:val="001410B8"/>
    <w:rsid w:val="00332EF0"/>
    <w:rsid w:val="003F77BE"/>
    <w:rsid w:val="007E3428"/>
    <w:rsid w:val="007E5379"/>
    <w:rsid w:val="00AC6AB4"/>
    <w:rsid w:val="00BC3130"/>
    <w:rsid w:val="00C455E3"/>
    <w:rsid w:val="00C65B77"/>
    <w:rsid w:val="00D321DA"/>
    <w:rsid w:val="00EA422D"/>
    <w:rsid w:val="00FC157F"/>
    <w:rsid w:val="06DF3B7E"/>
    <w:rsid w:val="06E904A1"/>
    <w:rsid w:val="09EC724C"/>
    <w:rsid w:val="0B661DFE"/>
    <w:rsid w:val="0D6D5D2C"/>
    <w:rsid w:val="13CC2444"/>
    <w:rsid w:val="14921C80"/>
    <w:rsid w:val="180477A4"/>
    <w:rsid w:val="19560A59"/>
    <w:rsid w:val="1C496371"/>
    <w:rsid w:val="1E2E1DC9"/>
    <w:rsid w:val="27F12EAC"/>
    <w:rsid w:val="29D47C5C"/>
    <w:rsid w:val="2A4822AF"/>
    <w:rsid w:val="2D9F5C7A"/>
    <w:rsid w:val="33A670F3"/>
    <w:rsid w:val="36960B00"/>
    <w:rsid w:val="3D755017"/>
    <w:rsid w:val="40E1715D"/>
    <w:rsid w:val="419C0824"/>
    <w:rsid w:val="423077C4"/>
    <w:rsid w:val="44244964"/>
    <w:rsid w:val="4F9917ED"/>
    <w:rsid w:val="57404164"/>
    <w:rsid w:val="5C83014D"/>
    <w:rsid w:val="5D581711"/>
    <w:rsid w:val="5E145AF2"/>
    <w:rsid w:val="5F372BCB"/>
    <w:rsid w:val="5F412942"/>
    <w:rsid w:val="60785E58"/>
    <w:rsid w:val="66FA3005"/>
    <w:rsid w:val="678437B5"/>
    <w:rsid w:val="70C1078D"/>
    <w:rsid w:val="7315553B"/>
    <w:rsid w:val="7451111C"/>
    <w:rsid w:val="75D26FF0"/>
    <w:rsid w:val="775A30EF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691</Characters>
  <Lines>5</Lines>
  <Paragraphs>1</Paragraphs>
  <TotalTime>11</TotalTime>
  <ScaleCrop>false</ScaleCrop>
  <LinksUpToDate>false</LinksUpToDate>
  <CharactersWithSpaces>695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夏顺意</cp:lastModifiedBy>
  <cp:lastPrinted>2025-04-27T08:12:00Z</cp:lastPrinted>
  <dcterms:modified xsi:type="dcterms:W3CDTF">2025-04-28T02:08:30Z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311B7ECB58194B5F973C36A853C18CAC_13</vt:lpwstr>
  </property>
  <property fmtid="{D5CDD505-2E9C-101B-9397-08002B2CF9AE}" pid="4" name="KSOTemplateDocerSaveRecord">
    <vt:lpwstr>eyJoZGlkIjoiNDZlZWY1MTZiMTkyZjJiYmE4ZmY2NmQ4YzIyODA0ODMifQ==</vt:lpwstr>
  </property>
</Properties>
</file>