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7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山东公用控股有限公司</w:t>
      </w:r>
    </w:p>
    <w:p>
      <w:pPr>
        <w:pStyle w:val="3"/>
        <w:spacing w:line="700" w:lineRule="exact"/>
        <w:jc w:val="center"/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/>
        </w:rPr>
        <w:t>2023年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中期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/>
        </w:rPr>
        <w:t>财务等重大信息公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开</w:t>
      </w:r>
    </w:p>
    <w:p>
      <w:pPr>
        <w:pStyle w:val="3"/>
        <w:spacing w:line="600" w:lineRule="exact"/>
        <w:ind w:firstLine="640" w:firstLineChars="200"/>
        <w:jc w:val="both"/>
        <w:rPr>
          <w:rFonts w:ascii="方正黑体简体" w:hAnsi="方正黑体简体" w:eastAsia="方正黑体简体" w:cs="方正黑体简体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ascii="方正黑体简体" w:hAnsi="方正黑体简体" w:eastAsia="方正黑体简体" w:cs="方正黑体简体"/>
          <w:b/>
          <w:bCs/>
          <w:lang w:val="en-US"/>
        </w:rPr>
      </w:pPr>
      <w:r>
        <w:rPr>
          <w:rFonts w:hint="eastAsia" w:ascii="方正黑体简体" w:hAnsi="方正黑体简体" w:eastAsia="方正黑体简体" w:cs="方正黑体简体"/>
          <w:b/>
          <w:bCs/>
          <w:lang w:val="en-US" w:eastAsia="zh-CN"/>
        </w:rPr>
        <w:t>一、</w:t>
      </w:r>
      <w:r>
        <w:rPr>
          <w:rFonts w:hint="eastAsia" w:ascii="方正黑体简体" w:hAnsi="方正黑体简体" w:eastAsia="方正黑体简体" w:cs="方正黑体简体"/>
          <w:b/>
          <w:bCs/>
          <w:lang w:val="en-US"/>
        </w:rPr>
        <w:t>公司基本情况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ascii="方正楷体简体" w:hAnsi="方正楷体简体" w:eastAsia="方正楷体简体" w:cs="方正楷体简体"/>
          <w:b/>
          <w:bCs/>
          <w:lang w:val="en-US"/>
        </w:rPr>
      </w:pPr>
      <w:r>
        <w:rPr>
          <w:rFonts w:hint="eastAsia" w:ascii="方正楷体简体" w:hAnsi="方正楷体简体" w:eastAsia="方正楷体简体" w:cs="方正楷体简体"/>
          <w:b/>
          <w:bCs/>
          <w:lang w:val="en-US"/>
        </w:rPr>
        <w:t>（一）基本信息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ascii="Times New Roman" w:hAnsi="Times New Roman" w:eastAsia="方正仿宋简体" w:cs="Times New Roman"/>
          <w:b/>
          <w:bCs/>
          <w:lang w:val="en-US"/>
        </w:rPr>
      </w:pPr>
      <w:r>
        <w:rPr>
          <w:rFonts w:ascii="Times New Roman" w:hAnsi="Times New Roman" w:eastAsia="方正仿宋简体" w:cs="Times New Roman"/>
          <w:b/>
          <w:bCs/>
          <w:lang w:val="en-US"/>
        </w:rPr>
        <w:t>1.名    称：山东公用控股有限公司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ascii="Times New Roman" w:hAnsi="Times New Roman" w:eastAsia="方正仿宋简体" w:cs="Times New Roman"/>
          <w:b/>
          <w:bCs/>
          <w:lang w:val="en-US"/>
        </w:rPr>
      </w:pPr>
      <w:r>
        <w:rPr>
          <w:rFonts w:ascii="Times New Roman" w:hAnsi="Times New Roman" w:eastAsia="方正仿宋简体" w:cs="Times New Roman"/>
          <w:b/>
          <w:bCs/>
          <w:lang w:val="en-US"/>
        </w:rPr>
        <w:t>2.企业类型：有限责任公司（国有独资）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ascii="Times New Roman" w:hAnsi="Times New Roman" w:eastAsia="方正仿宋简体" w:cs="Times New Roman"/>
          <w:b/>
          <w:bCs/>
          <w:lang w:val="en-US"/>
        </w:rPr>
      </w:pPr>
      <w:r>
        <w:rPr>
          <w:rFonts w:ascii="Times New Roman" w:hAnsi="Times New Roman" w:eastAsia="方正仿宋简体" w:cs="Times New Roman"/>
          <w:b/>
          <w:bCs/>
          <w:lang w:val="en-US"/>
        </w:rPr>
        <w:t>3.成立日期：1993</w:t>
      </w:r>
      <w:r>
        <w:rPr>
          <w:rFonts w:hint="eastAsia" w:cs="宋体"/>
          <w:b/>
          <w:bCs/>
          <w:kern w:val="0"/>
          <w:sz w:val="32"/>
          <w:szCs w:val="32"/>
          <w:lang w:val="en-US" w:eastAsia="zh-CN" w:bidi="zh-CN"/>
        </w:rPr>
        <w:t>-</w:t>
      </w:r>
      <w:r>
        <w:rPr>
          <w:rFonts w:ascii="Times New Roman" w:hAnsi="Times New Roman" w:eastAsia="方正仿宋简体" w:cs="Times New Roman"/>
          <w:b/>
          <w:bCs/>
          <w:lang w:val="en-US"/>
        </w:rPr>
        <w:t>06</w:t>
      </w:r>
      <w:r>
        <w:rPr>
          <w:rFonts w:hint="eastAsia" w:cs="宋体"/>
          <w:b/>
          <w:bCs/>
          <w:kern w:val="0"/>
          <w:sz w:val="32"/>
          <w:szCs w:val="32"/>
          <w:lang w:val="en-US" w:eastAsia="zh-CN" w:bidi="zh-CN"/>
        </w:rPr>
        <w:t>-</w:t>
      </w:r>
      <w:r>
        <w:rPr>
          <w:rFonts w:ascii="Times New Roman" w:hAnsi="Times New Roman" w:eastAsia="方正仿宋简体" w:cs="Times New Roman"/>
          <w:b/>
          <w:bCs/>
          <w:lang w:val="en-US"/>
        </w:rPr>
        <w:t>27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ascii="Times New Roman" w:hAnsi="Times New Roman" w:eastAsia="方正仿宋简体" w:cs="Times New Roman"/>
          <w:b/>
          <w:bCs/>
          <w:lang w:val="en-US"/>
        </w:rPr>
      </w:pPr>
      <w:r>
        <w:rPr>
          <w:rFonts w:ascii="Times New Roman" w:hAnsi="Times New Roman" w:eastAsia="方正仿宋简体" w:cs="Times New Roman"/>
          <w:b/>
          <w:bCs/>
          <w:lang w:val="en-US"/>
        </w:rPr>
        <w:t>4.法定代表人：李</w:t>
      </w:r>
      <w:r>
        <w:rPr>
          <w:rFonts w:hint="eastAsia" w:ascii="Times New Roman" w:hAnsi="Times New Roman" w:eastAsia="方正仿宋简体" w:cs="Times New Roman"/>
          <w:b/>
          <w:bCs/>
          <w:lang w:val="en-US" w:eastAsia="zh-CN"/>
        </w:rPr>
        <w:t xml:space="preserve">  </w:t>
      </w:r>
      <w:bookmarkStart w:id="0" w:name="_GoBack"/>
      <w:bookmarkEnd w:id="0"/>
      <w:r>
        <w:rPr>
          <w:rFonts w:ascii="Times New Roman" w:hAnsi="Times New Roman" w:eastAsia="方正仿宋简体" w:cs="Times New Roman"/>
          <w:b/>
          <w:bCs/>
          <w:lang w:val="en-US"/>
        </w:rPr>
        <w:t>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ascii="Times New Roman" w:hAnsi="Times New Roman" w:eastAsia="方正仿宋简体" w:cs="Times New Roman"/>
          <w:b/>
          <w:bCs/>
          <w:lang w:val="en-US"/>
        </w:rPr>
      </w:pPr>
      <w:r>
        <w:rPr>
          <w:rFonts w:ascii="Times New Roman" w:hAnsi="Times New Roman" w:eastAsia="方正仿宋简体" w:cs="Times New Roman"/>
          <w:b/>
          <w:bCs/>
          <w:lang w:val="en-US"/>
        </w:rPr>
        <w:t>5.注册地址：济宁市红星中路23号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ascii="Times New Roman" w:hAnsi="Times New Roman" w:eastAsia="方正仿宋简体" w:cs="Times New Roman"/>
          <w:b/>
          <w:bCs/>
          <w:lang w:val="en-US"/>
        </w:rPr>
      </w:pPr>
      <w:r>
        <w:rPr>
          <w:rFonts w:ascii="Times New Roman" w:hAnsi="Times New Roman" w:eastAsia="方正仿宋简体" w:cs="Times New Roman"/>
          <w:b/>
          <w:bCs/>
          <w:lang w:val="en-US"/>
        </w:rPr>
        <w:t>6.经营范围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lang w:val="en-US"/>
        </w:rPr>
      </w:pPr>
      <w:r>
        <w:rPr>
          <w:rFonts w:ascii="Times New Roman" w:hAnsi="Times New Roman" w:eastAsia="方正仿宋简体" w:cs="Times New Roman"/>
          <w:b/>
          <w:bCs/>
          <w:lang w:val="en-US"/>
        </w:rPr>
        <w:t>许可项目：自来水生产与供应；污水处理及其再生利用；热力生产和供应；建设工程施工；建设工程设计；水利工程建设监理；证券投资咨询；房地产开发经营；发电业务、输电业务、供（配）电业务；饮料生产。（依法须经批准的项目，经相关部门批准后方可开展经营活动，具体经营</w:t>
      </w:r>
      <w:r>
        <w:rPr>
          <w:rFonts w:hint="eastAsia" w:ascii="方正仿宋简体" w:hAnsi="方正仿宋简体" w:eastAsia="方正仿宋简体" w:cs="方正仿宋简体"/>
          <w:b/>
          <w:bCs/>
          <w:lang w:val="en-US"/>
        </w:rPr>
        <w:t>项目以相关部门批准文件或许可证件为准）。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ascii="方正仿宋简体" w:hAnsi="方正仿宋简体" w:eastAsia="方正仿宋简体" w:cs="方正仿宋简体"/>
          <w:b/>
          <w:bCs/>
          <w:lang w:val="en-US"/>
        </w:rPr>
      </w:pPr>
      <w:r>
        <w:rPr>
          <w:rFonts w:hint="eastAsia" w:ascii="方正仿宋简体" w:hAnsi="方正仿宋简体" w:eastAsia="方正仿宋简体" w:cs="方正仿宋简体"/>
          <w:b/>
          <w:bCs/>
          <w:lang w:val="en-US"/>
        </w:rPr>
        <w:t>一般项目：水污染治理；水资源管理；创业投资（限投资未上市企业）；企业管理咨询；市场营销策划；私募股权投资基金管理、创业投资基金管理服务（须在中国证券投资基金业协会完成登记备案后方可从事经营活动）；销售代理；市政设施管理；财务咨询；储能技术服务；新能源原动设备销售；非居住房地产租赁；会议及展览服务；发电机及发电机组销售；工程管理服务；商业综合体管理服务；技术服务、技术开发、技术咨询、技术交流、技术转让、技术推广；专用化学产品销售（不含危险化学品）；煤炭及制品销售；五金产品批发；有色金属合金销售；建筑材料销售；合成材料销售；砼结构构件销售；建筑装饰材料销售；生态环境材料销售。（除依法须经批准的项目外，凭营业执照依法自主开展经营活动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ascii="方正楷体简体" w:hAnsi="方正楷体简体" w:eastAsia="方正楷体简体" w:cs="方正楷体简体"/>
          <w:b/>
          <w:bCs/>
          <w:lang w:val="en-US"/>
        </w:rPr>
      </w:pPr>
      <w:r>
        <w:rPr>
          <w:rFonts w:hint="eastAsia" w:ascii="方正楷体简体" w:hAnsi="方正楷体简体" w:eastAsia="方正楷体简体" w:cs="方正楷体简体"/>
          <w:b/>
          <w:bCs/>
          <w:lang w:val="en-US"/>
        </w:rPr>
        <w:t>（二）公司简介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ascii="Times New Roman" w:hAnsi="Times New Roman" w:eastAsia="方正仿宋简体" w:cs="Times New Roman"/>
          <w:b/>
          <w:lang w:val="en-US"/>
        </w:rPr>
      </w:pPr>
      <w:r>
        <w:rPr>
          <w:rFonts w:ascii="Times New Roman" w:hAnsi="Times New Roman" w:eastAsia="方正仿宋简体" w:cs="Times New Roman"/>
          <w:b/>
          <w:lang w:val="en-US"/>
        </w:rPr>
        <w:t>山东公用控股有限公司是集城乡水务、热电联产、燃气供应、环保科技、环境卫生、建设工程、置业地产、商业运营、金融服务于一体的城乡综合服务商。公司注册资本100亿元，下辖山东公用水务集团有限公司、山东公用热电集团有限公司、山东公用建工集团有限公司、山东公用环保科技集团</w:t>
      </w:r>
      <w:r>
        <w:rPr>
          <w:rFonts w:ascii="Times New Roman" w:hAnsi="Times New Roman" w:eastAsia="方正仿宋简体" w:cs="Times New Roman"/>
          <w:b/>
          <w:highlight w:val="none"/>
          <w:lang w:val="en-US"/>
        </w:rPr>
        <w:t>有限公司、山东公用环卫集团有限公司及济宁中山公用水务有限公司、济宁华润燃气有限公司、济宁华源热电有限公司等参控股子公司，截至202</w:t>
      </w:r>
      <w:r>
        <w:rPr>
          <w:rFonts w:hint="eastAsia" w:ascii="Times New Roman" w:hAnsi="Times New Roman" w:eastAsia="方正仿宋简体" w:cs="Times New Roman"/>
          <w:b/>
          <w:highlight w:val="none"/>
          <w:lang w:val="en-US" w:eastAsia="zh-CN"/>
        </w:rPr>
        <w:t>3</w:t>
      </w:r>
      <w:r>
        <w:rPr>
          <w:rFonts w:ascii="Times New Roman" w:hAnsi="Times New Roman" w:eastAsia="方正仿宋简体" w:cs="Times New Roman"/>
          <w:b/>
          <w:highlight w:val="none"/>
          <w:lang w:val="en-US"/>
        </w:rPr>
        <w:t>年</w:t>
      </w:r>
      <w:r>
        <w:rPr>
          <w:rFonts w:hint="eastAsia" w:ascii="Times New Roman" w:hAnsi="Times New Roman" w:eastAsia="方正仿宋简体" w:cs="Times New Roman"/>
          <w:b/>
          <w:highlight w:val="none"/>
          <w:lang w:val="en-US" w:eastAsia="zh-CN"/>
        </w:rPr>
        <w:t>6月</w:t>
      </w:r>
      <w:r>
        <w:rPr>
          <w:rFonts w:ascii="Times New Roman" w:hAnsi="Times New Roman" w:eastAsia="方正仿宋简体" w:cs="Times New Roman"/>
          <w:b/>
          <w:highlight w:val="none"/>
          <w:lang w:val="en-US"/>
        </w:rPr>
        <w:t>底，公司资产总额达到</w:t>
      </w:r>
      <w:r>
        <w:rPr>
          <w:rFonts w:hint="eastAsia" w:ascii="Times New Roman" w:hAnsi="Times New Roman" w:eastAsia="方正仿宋简体" w:cs="Times New Roman"/>
          <w:b/>
          <w:highlight w:val="none"/>
          <w:lang w:val="en-US" w:eastAsia="zh-CN"/>
        </w:rPr>
        <w:t>630.97</w:t>
      </w:r>
      <w:r>
        <w:rPr>
          <w:rFonts w:ascii="Times New Roman" w:hAnsi="Times New Roman" w:eastAsia="方正仿宋简体" w:cs="Times New Roman"/>
          <w:b/>
          <w:highlight w:val="none"/>
          <w:lang w:val="en-US"/>
        </w:rPr>
        <w:t>亿元。先后荣获全国文明单位、全国先进职工之家、山东省“攻坚克难奖”、山东省先进基</w:t>
      </w:r>
      <w:r>
        <w:rPr>
          <w:rFonts w:ascii="Times New Roman" w:hAnsi="Times New Roman" w:eastAsia="方正仿宋简体" w:cs="Times New Roman"/>
          <w:b/>
          <w:lang w:val="en-US"/>
        </w:rPr>
        <w:t>层党组织、山东省五一劳动奖状等荣誉。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ascii="Times New Roman" w:hAnsi="Times New Roman" w:eastAsia="方正仿宋简体" w:cs="Times New Roman"/>
          <w:b/>
          <w:lang w:val="en-US"/>
        </w:rPr>
      </w:pPr>
      <w:r>
        <w:rPr>
          <w:rFonts w:ascii="Times New Roman" w:hAnsi="Times New Roman" w:eastAsia="方正仿宋简体" w:cs="Times New Roman"/>
          <w:b/>
          <w:lang w:val="en-US"/>
        </w:rPr>
        <w:t>近年来，企业把握深化国企改革的历史机遇，以“公用产业</w:t>
      </w:r>
      <w:r>
        <w:rPr>
          <w:rFonts w:hint="default" w:ascii="Times New Roman" w:hAnsi="Times New Roman" w:eastAsia="方正仿宋简体" w:cs="Times New Roman"/>
          <w:b/>
          <w:lang w:val="en-US"/>
        </w:rPr>
        <w:t>+基础设</w:t>
      </w:r>
      <w:r>
        <w:rPr>
          <w:rFonts w:ascii="Times New Roman" w:hAnsi="Times New Roman" w:eastAsia="方正仿宋简体" w:cs="Times New Roman"/>
          <w:b/>
          <w:lang w:val="en-US"/>
        </w:rPr>
        <w:t>施”为驱动，全力打造民生公用、活力公用、生态公用、智慧公用和品质公用“五个公用”，大力实施城市更新行动，建立了多元发展、多极支撑的现代产业体系。公用产业业务经营范围涉及到山东、新疆、陕西、山西、河南等多个地区，还承建了包括济宁市主城区内环高架及连接线，济宁至曲阜快速路，济邹、兖郓高速公路，共青团路北延高铁连接线，济宁市农村生活污水治理，济宁市引黄西线工程，里彦电厂、运河电厂、嘉祥电厂、华源热电四大热源入城，长江、运河地表水厂，济宁城市轨道交通等一批省、市重点基础设施建设项目。目前，山东公用的整体规模和综合实力已处于省内领先，进入全国第一方阵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lang w:val="en-US"/>
        </w:rPr>
      </w:pPr>
      <w:r>
        <w:rPr>
          <w:rFonts w:hint="eastAsia" w:ascii="方正黑体简体" w:hAnsi="方正黑体简体" w:eastAsia="方正黑体简体" w:cs="方正黑体简体"/>
          <w:b/>
          <w:bCs/>
          <w:lang w:val="en-US" w:eastAsia="zh-CN"/>
        </w:rPr>
        <w:t>二、</w:t>
      </w:r>
      <w:r>
        <w:rPr>
          <w:rFonts w:hint="eastAsia" w:ascii="方正黑体简体" w:hAnsi="方正黑体简体" w:eastAsia="方正黑体简体" w:cs="方正黑体简体"/>
          <w:b/>
          <w:bCs/>
          <w:lang w:val="en-US"/>
        </w:rPr>
        <w:t>主要会计数据和财务指标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b/>
          <w:bCs/>
          <w:lang w:val="en-US" w:eastAsia="zh-CN"/>
        </w:rPr>
      </w:pPr>
      <w:r>
        <w:rPr>
          <w:rFonts w:hint="default" w:ascii="Times New Roman" w:hAnsi="Times New Roman" w:eastAsia="方正黑体简体" w:cs="Times New Roman"/>
          <w:b/>
          <w:bCs/>
          <w:lang w:val="en-US" w:eastAsia="zh-CN"/>
        </w:rPr>
        <w:t>2023年中期主要财务数据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line="600" w:lineRule="exact"/>
        <w:ind w:firstLine="6325" w:firstLineChars="2100"/>
        <w:jc w:val="both"/>
        <w:rPr>
          <w:rFonts w:hint="eastAsia" w:ascii="方正楷体简体" w:hAnsi="方正楷体简体" w:eastAsia="方正楷体简体" w:cs="方正楷体简体"/>
          <w:b/>
          <w:bCs/>
          <w:sz w:val="30"/>
          <w:szCs w:val="30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0"/>
          <w:szCs w:val="30"/>
          <w:lang w:val="en-US" w:eastAsia="zh-CN"/>
        </w:rPr>
        <w:t>单位：人民币万元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  <w:gridCol w:w="3165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621" w:type="dxa"/>
            <w:vAlign w:val="center"/>
          </w:tcPr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项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目</w:t>
            </w:r>
          </w:p>
        </w:tc>
        <w:tc>
          <w:tcPr>
            <w:tcW w:w="3165" w:type="dxa"/>
            <w:vAlign w:val="center"/>
          </w:tcPr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本期金额</w:t>
            </w:r>
          </w:p>
        </w:tc>
        <w:tc>
          <w:tcPr>
            <w:tcW w:w="3165" w:type="dxa"/>
            <w:vAlign w:val="center"/>
          </w:tcPr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上期金额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21" w:type="dxa"/>
            <w:vAlign w:val="center"/>
          </w:tcPr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营业总收入</w:t>
            </w:r>
          </w:p>
        </w:tc>
        <w:tc>
          <w:tcPr>
            <w:tcW w:w="3165" w:type="dxa"/>
            <w:vAlign w:val="center"/>
          </w:tcPr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  <w:t>733,432.18</w:t>
            </w:r>
          </w:p>
        </w:tc>
        <w:tc>
          <w:tcPr>
            <w:tcW w:w="3165" w:type="dxa"/>
            <w:vAlign w:val="center"/>
          </w:tcPr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  <w:t>505,876.78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21" w:type="dxa"/>
            <w:vAlign w:val="center"/>
          </w:tcPr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营业总成本</w:t>
            </w:r>
          </w:p>
        </w:tc>
        <w:tc>
          <w:tcPr>
            <w:tcW w:w="3165" w:type="dxa"/>
            <w:vAlign w:val="center"/>
          </w:tcPr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  <w:t>720,385.58</w:t>
            </w:r>
          </w:p>
        </w:tc>
        <w:tc>
          <w:tcPr>
            <w:tcW w:w="3165" w:type="dxa"/>
            <w:vAlign w:val="center"/>
          </w:tcPr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  <w:t>504,353.35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621" w:type="dxa"/>
            <w:vAlign w:val="center"/>
          </w:tcPr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利润总额</w:t>
            </w:r>
          </w:p>
        </w:tc>
        <w:tc>
          <w:tcPr>
            <w:tcW w:w="3165" w:type="dxa"/>
            <w:vAlign w:val="center"/>
          </w:tcPr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  <w:t>32,962.80</w:t>
            </w:r>
          </w:p>
        </w:tc>
        <w:tc>
          <w:tcPr>
            <w:tcW w:w="3165" w:type="dxa"/>
            <w:vAlign w:val="center"/>
          </w:tcPr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  <w:t>5,979.88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621" w:type="dxa"/>
            <w:vAlign w:val="center"/>
          </w:tcPr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  <w:t>项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  <w:t>目</w:t>
            </w:r>
          </w:p>
        </w:tc>
        <w:tc>
          <w:tcPr>
            <w:tcW w:w="3165" w:type="dxa"/>
            <w:vAlign w:val="center"/>
          </w:tcPr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  <w:t>期末余额</w:t>
            </w:r>
          </w:p>
        </w:tc>
        <w:tc>
          <w:tcPr>
            <w:tcW w:w="3165" w:type="dxa"/>
            <w:vAlign w:val="center"/>
          </w:tcPr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  <w:t>期初余额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621" w:type="dxa"/>
            <w:vAlign w:val="center"/>
          </w:tcPr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  <w:t>资产总额</w:t>
            </w:r>
          </w:p>
        </w:tc>
        <w:tc>
          <w:tcPr>
            <w:tcW w:w="3165" w:type="dxa"/>
            <w:vAlign w:val="center"/>
          </w:tcPr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  <w:t>6,309,747.42</w:t>
            </w:r>
          </w:p>
        </w:tc>
        <w:tc>
          <w:tcPr>
            <w:tcW w:w="3165" w:type="dxa"/>
            <w:vAlign w:val="center"/>
          </w:tcPr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  <w:t>5,853,201.83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621" w:type="dxa"/>
            <w:vAlign w:val="center"/>
          </w:tcPr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  <w:t>负债总额</w:t>
            </w:r>
          </w:p>
        </w:tc>
        <w:tc>
          <w:tcPr>
            <w:tcW w:w="3165" w:type="dxa"/>
            <w:vAlign w:val="center"/>
          </w:tcPr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  <w:t>4,632,607.27</w:t>
            </w:r>
          </w:p>
        </w:tc>
        <w:tc>
          <w:tcPr>
            <w:tcW w:w="3165" w:type="dxa"/>
            <w:vAlign w:val="center"/>
          </w:tcPr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  <w:t>4,266,892.41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21" w:type="dxa"/>
            <w:vAlign w:val="center"/>
          </w:tcPr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  <w:t>所有者权益</w:t>
            </w:r>
          </w:p>
        </w:tc>
        <w:tc>
          <w:tcPr>
            <w:tcW w:w="3165" w:type="dxa"/>
            <w:vAlign w:val="center"/>
          </w:tcPr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  <w:t>1,677,140.15</w:t>
            </w:r>
          </w:p>
        </w:tc>
        <w:tc>
          <w:tcPr>
            <w:tcW w:w="3165" w:type="dxa"/>
            <w:vAlign w:val="center"/>
          </w:tcPr>
          <w:p>
            <w:pPr>
              <w:pStyle w:val="3"/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bidi="ar-SA"/>
              </w:rPr>
              <w:t>1,586,309.41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方正黑体简体" w:hAnsi="方正黑体简体" w:eastAsia="方正黑体简体" w:cs="方正黑体简体"/>
          <w:b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sz w:val="32"/>
          <w:szCs w:val="32"/>
          <w:lang w:val="en-US" w:eastAsia="zh-CN"/>
        </w:rPr>
        <w:t>三、</w:t>
      </w:r>
      <w:r>
        <w:rPr>
          <w:rFonts w:hint="eastAsia" w:ascii="方正黑体简体" w:hAnsi="方正黑体简体" w:eastAsia="方正黑体简体" w:cs="方正黑体简体"/>
          <w:b/>
          <w:sz w:val="32"/>
          <w:szCs w:val="32"/>
        </w:rPr>
        <w:t>财务预算执行情况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5"/>
        <w:textAlignment w:val="auto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中期，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公司实现营业总收入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73.34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亿元，完成全年预算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125.89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亿元的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58.26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%；实现利润总额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3.30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亿元，完成全年预算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4.75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亿元的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69.47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3" w:firstLineChars="200"/>
        <w:textAlignment w:val="auto"/>
        <w:rPr>
          <w:rFonts w:ascii="方正黑体简体" w:hAnsi="方正黑体简体" w:eastAsia="方正黑体简体" w:cs="方正黑体简体"/>
          <w:b/>
          <w:bCs w:val="0"/>
          <w:sz w:val="32"/>
          <w:szCs w:val="32"/>
          <w:lang w:val="en-US"/>
        </w:rPr>
      </w:pPr>
      <w:r>
        <w:rPr>
          <w:rFonts w:hint="eastAsia" w:ascii="方正黑体简体" w:hAnsi="方正黑体简体" w:eastAsia="方正黑体简体" w:cs="方正黑体简体"/>
          <w:b/>
          <w:bCs w:val="0"/>
          <w:sz w:val="32"/>
          <w:szCs w:val="32"/>
          <w:lang w:val="en-US"/>
        </w:rPr>
        <w:t>四、</w:t>
      </w:r>
      <w:r>
        <w:rPr>
          <w:rFonts w:hint="eastAsia" w:ascii="方正黑体简体" w:hAnsi="方正黑体简体" w:eastAsia="方正黑体简体" w:cs="方正黑体简体"/>
          <w:b/>
          <w:bCs w:val="0"/>
          <w:sz w:val="32"/>
          <w:szCs w:val="32"/>
          <w:lang w:val="en-US" w:eastAsia="zh-CN"/>
        </w:rPr>
        <w:t>中期</w:t>
      </w:r>
      <w:r>
        <w:rPr>
          <w:rFonts w:hint="eastAsia" w:ascii="方正黑体简体" w:hAnsi="方正黑体简体" w:eastAsia="方正黑体简体" w:cs="方正黑体简体"/>
          <w:b/>
          <w:bCs w:val="0"/>
          <w:sz w:val="32"/>
          <w:szCs w:val="32"/>
          <w:lang w:val="en-US"/>
        </w:rPr>
        <w:t>内重大事项及对企业的影响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  <w:b/>
          <w:bCs w:val="0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b/>
          <w:bCs w:val="0"/>
          <w:sz w:val="32"/>
          <w:szCs w:val="32"/>
          <w:lang w:val="en-US"/>
        </w:rPr>
        <w:t>无。</w:t>
      </w:r>
    </w:p>
    <w:sectPr>
      <w:pgSz w:w="11906" w:h="16838"/>
      <w:pgMar w:top="1814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kN2I4NDU0ZTQ2OWYwZWMxMzFlNjJlZTY3MDVmZTYifQ=="/>
  </w:docVars>
  <w:rsids>
    <w:rsidRoot w:val="00AB01EA"/>
    <w:rsid w:val="00015A87"/>
    <w:rsid w:val="000168AA"/>
    <w:rsid w:val="00151E71"/>
    <w:rsid w:val="002135C1"/>
    <w:rsid w:val="00271CDE"/>
    <w:rsid w:val="00300466"/>
    <w:rsid w:val="003152D1"/>
    <w:rsid w:val="004055A1"/>
    <w:rsid w:val="00474979"/>
    <w:rsid w:val="004D1F6D"/>
    <w:rsid w:val="005571EB"/>
    <w:rsid w:val="005A15E0"/>
    <w:rsid w:val="00667382"/>
    <w:rsid w:val="006928AD"/>
    <w:rsid w:val="00693743"/>
    <w:rsid w:val="006B7A98"/>
    <w:rsid w:val="00702DC4"/>
    <w:rsid w:val="00710A95"/>
    <w:rsid w:val="007209DF"/>
    <w:rsid w:val="007A0DD0"/>
    <w:rsid w:val="007A5A03"/>
    <w:rsid w:val="007A7033"/>
    <w:rsid w:val="007E6DD0"/>
    <w:rsid w:val="008001A9"/>
    <w:rsid w:val="00806BE9"/>
    <w:rsid w:val="008A74B2"/>
    <w:rsid w:val="0091505B"/>
    <w:rsid w:val="009C4B22"/>
    <w:rsid w:val="00A24713"/>
    <w:rsid w:val="00A26E02"/>
    <w:rsid w:val="00AA3DFD"/>
    <w:rsid w:val="00AB01EA"/>
    <w:rsid w:val="00AB3601"/>
    <w:rsid w:val="00AC59A2"/>
    <w:rsid w:val="00AD0180"/>
    <w:rsid w:val="00B078E2"/>
    <w:rsid w:val="00B15769"/>
    <w:rsid w:val="00B860E7"/>
    <w:rsid w:val="00BA25C7"/>
    <w:rsid w:val="00BD36F7"/>
    <w:rsid w:val="00BD7A30"/>
    <w:rsid w:val="00C27E86"/>
    <w:rsid w:val="00C82BDE"/>
    <w:rsid w:val="00CA3314"/>
    <w:rsid w:val="00CB4B86"/>
    <w:rsid w:val="00CC7327"/>
    <w:rsid w:val="00DE29BB"/>
    <w:rsid w:val="00E05E9E"/>
    <w:rsid w:val="00E82D5D"/>
    <w:rsid w:val="00E97D11"/>
    <w:rsid w:val="00EA367A"/>
    <w:rsid w:val="00EF29D3"/>
    <w:rsid w:val="00F21D3D"/>
    <w:rsid w:val="00F50061"/>
    <w:rsid w:val="00F75FEA"/>
    <w:rsid w:val="08A70BEC"/>
    <w:rsid w:val="0C1300BA"/>
    <w:rsid w:val="0CF42FEF"/>
    <w:rsid w:val="112E0C1C"/>
    <w:rsid w:val="11D529E3"/>
    <w:rsid w:val="208262A6"/>
    <w:rsid w:val="236642F5"/>
    <w:rsid w:val="2E9539DE"/>
    <w:rsid w:val="32DA0AFB"/>
    <w:rsid w:val="3EB218E1"/>
    <w:rsid w:val="40BD03D8"/>
    <w:rsid w:val="46625A9C"/>
    <w:rsid w:val="5D195C77"/>
    <w:rsid w:val="632643EA"/>
    <w:rsid w:val="67C52FC9"/>
    <w:rsid w:val="73FE1D6C"/>
    <w:rsid w:val="76323B4E"/>
    <w:rsid w:val="7D03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keepLines/>
      <w:pageBreakBefore/>
      <w:spacing w:before="240" w:after="120"/>
      <w:jc w:val="center"/>
      <w:outlineLvl w:val="0"/>
    </w:pPr>
    <w:rPr>
      <w:rFonts w:eastAsia="黑体"/>
      <w:b/>
      <w:sz w:val="36"/>
    </w:rPr>
  </w:style>
  <w:style w:type="paragraph" w:styleId="3">
    <w:name w:val="Body Text"/>
    <w:basedOn w:val="1"/>
    <w:link w:val="10"/>
    <w:qFormat/>
    <w:uiPriority w:val="1"/>
    <w:rPr>
      <w:sz w:val="32"/>
      <w:szCs w:val="32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正文文本 字符"/>
    <w:basedOn w:val="8"/>
    <w:link w:val="3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customStyle="1" w:styleId="11">
    <w:name w:val="Table Paragraph"/>
    <w:basedOn w:val="1"/>
    <w:qFormat/>
    <w:uiPriority w:val="1"/>
    <w:pPr>
      <w:spacing w:before="96"/>
      <w:jc w:val="right"/>
    </w:pPr>
    <w:rPr>
      <w:rFonts w:ascii="仿宋" w:hAnsi="仿宋" w:eastAsia="仿宋" w:cs="仿宋"/>
    </w:rPr>
  </w:style>
  <w:style w:type="character" w:customStyle="1" w:styleId="12">
    <w:name w:val="页眉 字符"/>
    <w:basedOn w:val="8"/>
    <w:link w:val="5"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3">
    <w:name w:val="页脚 字符"/>
    <w:basedOn w:val="8"/>
    <w:link w:val="4"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1315</Words>
  <Characters>1492</Characters>
  <Lines>10</Lines>
  <Paragraphs>2</Paragraphs>
  <TotalTime>8</TotalTime>
  <ScaleCrop>false</ScaleCrop>
  <LinksUpToDate>false</LinksUpToDate>
  <CharactersWithSpaces>1500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2023-04-27T01:47:00Z</dcterms:created>
  <dc:creator>lenovo</dc:creator>
  <cp:lastModifiedBy>张娜</cp:lastModifiedBy>
  <cp:lastPrinted>2022-08-29T09:18:00Z</cp:lastPrinted>
  <dcterms:modified xsi:type="dcterms:W3CDTF">2023-09-01T01:28:09Z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A9B2586D9CEF4637A1445F7C044CF357</vt:lpwstr>
  </property>
</Properties>
</file>